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4308" w:tblpY="-162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645"/>
        <w:gridCol w:w="741"/>
      </w:tblGrid>
      <w:tr w:rsidR="005E1C91" w:rsidRPr="00D36682" w14:paraId="4EA327C5" w14:textId="77777777" w:rsidTr="00964EB3">
        <w:tc>
          <w:tcPr>
            <w:tcW w:w="641" w:type="dxa"/>
          </w:tcPr>
          <w:p w14:paraId="1C6EAB11" w14:textId="77777777" w:rsidR="005E1C91" w:rsidRPr="00D36682" w:rsidRDefault="00302D27" w:rsidP="00AD3A3D">
            <w:r w:rsidRPr="00D36682">
              <w:rPr>
                <w:noProof/>
                <w:lang w:eastAsia="es-ES"/>
              </w:rPr>
              <w:drawing>
                <wp:inline distT="0" distB="0" distL="0" distR="0" wp14:anchorId="17B54E21" wp14:editId="21830A74">
                  <wp:extent cx="247650" cy="247650"/>
                  <wp:effectExtent l="0" t="0" r="0" b="0"/>
                  <wp:docPr id="11" name="Imagen 1" descr="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</w:tcPr>
          <w:p w14:paraId="5CA5714F" w14:textId="77777777" w:rsidR="005E1C91" w:rsidRPr="00964EB3" w:rsidRDefault="00302D27" w:rsidP="00964EB3">
            <w:pPr>
              <w:pStyle w:val="LATERALTextonormal"/>
              <w:ind w:firstLine="0"/>
              <w:jc w:val="left"/>
              <w:rPr>
                <w:rFonts w:ascii="Helvetica" w:hAnsi="Helvetica"/>
                <w:color w:val="auto"/>
                <w:sz w:val="22"/>
              </w:rPr>
            </w:pPr>
            <w:r w:rsidRPr="008E694C">
              <w:rPr>
                <w:rFonts w:ascii="Helvetica" w:hAnsi="Helvetica"/>
                <w:noProof/>
                <w:color w:val="auto"/>
                <w:sz w:val="22"/>
                <w:lang w:eastAsia="es-ES"/>
              </w:rPr>
              <w:drawing>
                <wp:inline distT="0" distB="0" distL="0" distR="0" wp14:anchorId="3B34BC0A" wp14:editId="711E9270">
                  <wp:extent cx="247650" cy="247650"/>
                  <wp:effectExtent l="0" t="0" r="0" b="0"/>
                  <wp:docPr id="2" name="Imagen 2" descr="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14:paraId="51F8BE23" w14:textId="77777777" w:rsidR="005E1C91" w:rsidRPr="00964EB3" w:rsidRDefault="00302D27" w:rsidP="00964EB3">
            <w:pPr>
              <w:pStyle w:val="LATERALTextonormal"/>
              <w:ind w:firstLine="0"/>
              <w:jc w:val="left"/>
              <w:rPr>
                <w:rFonts w:ascii="Helvetica" w:hAnsi="Helvetica"/>
                <w:color w:val="auto"/>
                <w:sz w:val="22"/>
              </w:rPr>
            </w:pPr>
            <w:r w:rsidRPr="008E694C">
              <w:rPr>
                <w:rFonts w:ascii="Helvetica" w:hAnsi="Helvetica"/>
                <w:noProof/>
                <w:color w:val="auto"/>
                <w:sz w:val="22"/>
                <w:lang w:eastAsia="es-ES"/>
              </w:rPr>
              <w:drawing>
                <wp:inline distT="0" distB="0" distL="0" distR="0" wp14:anchorId="3CE4C57A" wp14:editId="2F78BDA7">
                  <wp:extent cx="247650" cy="247650"/>
                  <wp:effectExtent l="0" t="0" r="0" b="0"/>
                  <wp:docPr id="3" name="Imagen 3" descr="linkedi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inked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98F59" w14:textId="05933986" w:rsidR="00580035" w:rsidRPr="00B4712C" w:rsidRDefault="005C07E9" w:rsidP="00580035">
      <w:pPr>
        <w:spacing w:after="0"/>
        <w:ind w:firstLine="0"/>
        <w:jc w:val="right"/>
        <w:rPr>
          <w:b/>
          <w:color w:val="4F6228"/>
          <w:sz w:val="40"/>
          <w:szCs w:val="40"/>
        </w:rPr>
      </w:pPr>
      <w:r w:rsidRPr="00B4712C">
        <w:rPr>
          <w:b/>
          <w:color w:val="4F6228"/>
          <w:sz w:val="40"/>
          <w:szCs w:val="40"/>
        </w:rPr>
        <w:t>PROGRAMA</w:t>
      </w:r>
      <w:r w:rsidR="00F33E02" w:rsidRPr="00B4712C">
        <w:rPr>
          <w:b/>
          <w:color w:val="4F6228"/>
          <w:sz w:val="40"/>
          <w:szCs w:val="40"/>
        </w:rPr>
        <w:t xml:space="preserve"> NEOTEC</w:t>
      </w:r>
      <w:r w:rsidR="00C82618" w:rsidRPr="00B4712C">
        <w:rPr>
          <w:b/>
          <w:color w:val="4F6228"/>
          <w:sz w:val="40"/>
          <w:szCs w:val="40"/>
        </w:rPr>
        <w:t xml:space="preserve"> 202</w:t>
      </w:r>
      <w:r w:rsidR="00CE4FE9">
        <w:rPr>
          <w:b/>
          <w:color w:val="4F6228"/>
          <w:sz w:val="40"/>
          <w:szCs w:val="40"/>
        </w:rPr>
        <w:t>2</w:t>
      </w:r>
      <w:r w:rsidR="00F33E02" w:rsidRPr="00B4712C">
        <w:rPr>
          <w:b/>
          <w:color w:val="4F6228"/>
          <w:sz w:val="40"/>
          <w:szCs w:val="40"/>
        </w:rPr>
        <w:t>-CDTI</w:t>
      </w:r>
    </w:p>
    <w:p w14:paraId="5F77BD91" w14:textId="26707296" w:rsidR="00D32E65" w:rsidRPr="001A109F" w:rsidRDefault="003E5243" w:rsidP="00562D14">
      <w:pPr>
        <w:spacing w:after="0"/>
        <w:ind w:firstLine="0"/>
        <w:jc w:val="right"/>
        <w:rPr>
          <w:rStyle w:val="Hipervnculo"/>
          <w:b/>
          <w:bCs/>
          <w:sz w:val="24"/>
          <w:szCs w:val="24"/>
        </w:rPr>
      </w:pPr>
      <w:hyperlink r:id="rId14" w:history="1">
        <w:r w:rsidR="00D32E65" w:rsidRPr="00F26137">
          <w:rPr>
            <w:rStyle w:val="Hipervnculo"/>
            <w:b/>
            <w:bCs/>
            <w:sz w:val="24"/>
            <w:szCs w:val="24"/>
          </w:rPr>
          <w:t>Bases Reguladoras</w:t>
        </w:r>
        <w:r w:rsidR="00A97CDE" w:rsidRPr="00F26137">
          <w:rPr>
            <w:rStyle w:val="Hipervnculo"/>
            <w:b/>
            <w:bCs/>
            <w:sz w:val="24"/>
            <w:szCs w:val="24"/>
          </w:rPr>
          <w:t xml:space="preserve"> Orden</w:t>
        </w:r>
        <w:r w:rsidR="00D32E65" w:rsidRPr="00F26137">
          <w:rPr>
            <w:rStyle w:val="Hipervnculo"/>
            <w:b/>
            <w:bCs/>
            <w:sz w:val="24"/>
            <w:szCs w:val="24"/>
          </w:rPr>
          <w:t xml:space="preserve"> </w:t>
        </w:r>
        <w:r w:rsidR="00B8411F" w:rsidRPr="00F26137">
          <w:rPr>
            <w:rStyle w:val="Hipervnculo"/>
            <w:b/>
            <w:bCs/>
            <w:sz w:val="24"/>
            <w:szCs w:val="24"/>
          </w:rPr>
          <w:t>CIN</w:t>
        </w:r>
        <w:r w:rsidR="00D60F78" w:rsidRPr="00F26137">
          <w:rPr>
            <w:rStyle w:val="Hipervnculo"/>
            <w:b/>
            <w:bCs/>
            <w:sz w:val="24"/>
            <w:szCs w:val="24"/>
          </w:rPr>
          <w:t>/373</w:t>
        </w:r>
        <w:r w:rsidR="00D32E65" w:rsidRPr="00F26137">
          <w:rPr>
            <w:rStyle w:val="Hipervnculo"/>
            <w:b/>
            <w:bCs/>
            <w:sz w:val="24"/>
            <w:szCs w:val="24"/>
          </w:rPr>
          <w:t>/</w:t>
        </w:r>
        <w:r w:rsidR="00F32908" w:rsidRPr="00F26137">
          <w:rPr>
            <w:rStyle w:val="Hipervnculo"/>
            <w:b/>
            <w:bCs/>
            <w:sz w:val="24"/>
            <w:szCs w:val="24"/>
          </w:rPr>
          <w:t>2022,</w:t>
        </w:r>
        <w:r w:rsidR="00D32E65" w:rsidRPr="00F26137">
          <w:rPr>
            <w:rStyle w:val="Hipervnculo"/>
            <w:b/>
            <w:bCs/>
            <w:sz w:val="24"/>
            <w:szCs w:val="24"/>
          </w:rPr>
          <w:t xml:space="preserve"> </w:t>
        </w:r>
        <w:r w:rsidR="003165E3" w:rsidRPr="00F26137">
          <w:rPr>
            <w:rStyle w:val="Hipervnculo"/>
            <w:b/>
            <w:bCs/>
            <w:sz w:val="24"/>
            <w:szCs w:val="24"/>
          </w:rPr>
          <w:t>de 26 de abril</w:t>
        </w:r>
      </w:hyperlink>
    </w:p>
    <w:p w14:paraId="14CCD039" w14:textId="28660ACE" w:rsidR="00D32E65" w:rsidRPr="00B34707" w:rsidRDefault="003E5243" w:rsidP="00562D14">
      <w:pPr>
        <w:spacing w:after="0"/>
        <w:ind w:firstLine="0"/>
        <w:jc w:val="right"/>
        <w:rPr>
          <w:rStyle w:val="Hipervnculo"/>
          <w:b/>
          <w:bCs/>
          <w:sz w:val="24"/>
          <w:szCs w:val="24"/>
        </w:rPr>
      </w:pPr>
      <w:hyperlink r:id="rId15" w:history="1">
        <w:r w:rsidR="00D32E65" w:rsidRPr="00B34707">
          <w:rPr>
            <w:rStyle w:val="Hipervnculo"/>
            <w:b/>
            <w:bCs/>
            <w:sz w:val="24"/>
            <w:szCs w:val="24"/>
          </w:rPr>
          <w:t>Convocatoria</w:t>
        </w:r>
      </w:hyperlink>
      <w:r w:rsidR="00D32E65" w:rsidRPr="00B34707">
        <w:rPr>
          <w:rStyle w:val="Hipervnculo"/>
          <w:bCs/>
        </w:rPr>
        <w:t xml:space="preserve"> </w:t>
      </w:r>
    </w:p>
    <w:p w14:paraId="53A96F62" w14:textId="7E57AB02" w:rsidR="00D32E65" w:rsidRDefault="003E5243" w:rsidP="00562D14">
      <w:pPr>
        <w:spacing w:after="0"/>
        <w:ind w:firstLine="0"/>
        <w:jc w:val="right"/>
        <w:rPr>
          <w:sz w:val="24"/>
          <w:szCs w:val="24"/>
        </w:rPr>
      </w:pPr>
      <w:hyperlink r:id="rId16" w:history="1">
        <w:r w:rsidR="00D32E65" w:rsidRPr="00D32E65">
          <w:rPr>
            <w:rStyle w:val="Hipervnculo"/>
            <w:b/>
            <w:bCs/>
            <w:sz w:val="24"/>
            <w:szCs w:val="24"/>
          </w:rPr>
          <w:t>Extracto de Convocatoria Resolución</w:t>
        </w:r>
      </w:hyperlink>
      <w:r w:rsidR="00D32E65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18" w:space="0" w:color="385623"/>
          <w:left w:val="single" w:sz="18" w:space="0" w:color="385623"/>
          <w:bottom w:val="single" w:sz="18" w:space="0" w:color="385623"/>
          <w:right w:val="single" w:sz="18" w:space="0" w:color="385623"/>
        </w:tblBorders>
        <w:tblLook w:val="04A0" w:firstRow="1" w:lastRow="0" w:firstColumn="1" w:lastColumn="0" w:noHBand="0" w:noVBand="1"/>
      </w:tblPr>
      <w:tblGrid>
        <w:gridCol w:w="2328"/>
        <w:gridCol w:w="2501"/>
        <w:gridCol w:w="2155"/>
        <w:gridCol w:w="2325"/>
      </w:tblGrid>
      <w:tr w:rsidR="002D002A" w:rsidRPr="00666886" w14:paraId="1075ABF6" w14:textId="77777777" w:rsidTr="00D24F73">
        <w:tc>
          <w:tcPr>
            <w:tcW w:w="9495" w:type="dxa"/>
            <w:gridSpan w:val="4"/>
            <w:shd w:val="clear" w:color="auto" w:fill="92D050"/>
          </w:tcPr>
          <w:p w14:paraId="0CD2DD04" w14:textId="77777777" w:rsidR="002D002A" w:rsidRPr="00666886" w:rsidRDefault="002D002A" w:rsidP="00D24F73">
            <w:pPr>
              <w:spacing w:after="0"/>
              <w:ind w:firstLine="0"/>
              <w:jc w:val="center"/>
              <w:rPr>
                <w:b/>
                <w:color w:val="FFFFFF"/>
                <w:sz w:val="24"/>
                <w:szCs w:val="24"/>
              </w:rPr>
            </w:pPr>
            <w:r w:rsidRPr="00666886">
              <w:rPr>
                <w:b/>
                <w:color w:val="FFFFFF"/>
                <w:sz w:val="24"/>
                <w:szCs w:val="24"/>
              </w:rPr>
              <w:t>CARACTERÍSTICAS DE LA AYUDA</w:t>
            </w:r>
          </w:p>
        </w:tc>
      </w:tr>
      <w:tr w:rsidR="002D002A" w:rsidRPr="00B4712C" w14:paraId="6F8760D5" w14:textId="77777777" w:rsidTr="00D24F73">
        <w:tc>
          <w:tcPr>
            <w:tcW w:w="2373" w:type="dxa"/>
          </w:tcPr>
          <w:p w14:paraId="0D52B71D" w14:textId="77777777" w:rsidR="002D002A" w:rsidRPr="00B4712C" w:rsidRDefault="002D002A" w:rsidP="00D24F73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Tipo de financiación:</w:t>
            </w:r>
          </w:p>
        </w:tc>
        <w:tc>
          <w:tcPr>
            <w:tcW w:w="2555" w:type="dxa"/>
          </w:tcPr>
          <w:p w14:paraId="39479699" w14:textId="77777777" w:rsidR="002D002A" w:rsidRPr="00B4712C" w:rsidRDefault="00CE6C52" w:rsidP="00D24F73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Subvención</w:t>
            </w:r>
          </w:p>
        </w:tc>
        <w:tc>
          <w:tcPr>
            <w:tcW w:w="2193" w:type="dxa"/>
          </w:tcPr>
          <w:p w14:paraId="0A6934DE" w14:textId="77777777" w:rsidR="002D002A" w:rsidRPr="00B4712C" w:rsidRDefault="002D002A" w:rsidP="00D24F73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Ámbito:</w:t>
            </w:r>
          </w:p>
        </w:tc>
        <w:tc>
          <w:tcPr>
            <w:tcW w:w="2374" w:type="dxa"/>
          </w:tcPr>
          <w:p w14:paraId="011DCE7E" w14:textId="77777777" w:rsidR="002D002A" w:rsidRPr="00B4712C" w:rsidRDefault="002D002A" w:rsidP="00D24F73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N</w:t>
            </w:r>
            <w:r w:rsidR="00CE6C52"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acional</w:t>
            </w:r>
          </w:p>
        </w:tc>
      </w:tr>
      <w:tr w:rsidR="002D002A" w:rsidRPr="00B4712C" w14:paraId="65AB7AC3" w14:textId="77777777" w:rsidTr="002D002A">
        <w:trPr>
          <w:trHeight w:val="194"/>
        </w:trPr>
        <w:tc>
          <w:tcPr>
            <w:tcW w:w="2373" w:type="dxa"/>
          </w:tcPr>
          <w:p w14:paraId="379AB9E6" w14:textId="77777777" w:rsidR="002D002A" w:rsidRPr="00B4712C" w:rsidRDefault="002D002A" w:rsidP="00D24F73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Número de participantes:</w:t>
            </w:r>
          </w:p>
        </w:tc>
        <w:tc>
          <w:tcPr>
            <w:tcW w:w="2555" w:type="dxa"/>
          </w:tcPr>
          <w:p w14:paraId="45DA8EEF" w14:textId="77777777" w:rsidR="002D002A" w:rsidRPr="00B4712C" w:rsidRDefault="00CE6C52" w:rsidP="00D24F73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Individual</w:t>
            </w:r>
          </w:p>
        </w:tc>
        <w:tc>
          <w:tcPr>
            <w:tcW w:w="2193" w:type="dxa"/>
          </w:tcPr>
          <w:p w14:paraId="6CAA539E" w14:textId="77777777" w:rsidR="002D002A" w:rsidRPr="00B4712C" w:rsidRDefault="002D002A" w:rsidP="00D24F73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Destinatarios:</w:t>
            </w:r>
          </w:p>
        </w:tc>
        <w:tc>
          <w:tcPr>
            <w:tcW w:w="2374" w:type="dxa"/>
          </w:tcPr>
          <w:p w14:paraId="5D56CAB5" w14:textId="77777777" w:rsidR="002D002A" w:rsidRPr="00B4712C" w:rsidRDefault="00CE6C52" w:rsidP="00D24F73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 xml:space="preserve">Empresas </w:t>
            </w:r>
            <w:r w:rsidR="002002DD"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innovadoras</w:t>
            </w:r>
          </w:p>
        </w:tc>
      </w:tr>
      <w:tr w:rsidR="002D002A" w:rsidRPr="00B4712C" w14:paraId="420683B2" w14:textId="77777777" w:rsidTr="00D24F73">
        <w:tc>
          <w:tcPr>
            <w:tcW w:w="2373" w:type="dxa"/>
          </w:tcPr>
          <w:p w14:paraId="7E917216" w14:textId="77777777" w:rsidR="002D002A" w:rsidRPr="00B4712C" w:rsidRDefault="002D002A" w:rsidP="00D24F73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Régimen de la convocatoria:</w:t>
            </w:r>
          </w:p>
        </w:tc>
        <w:tc>
          <w:tcPr>
            <w:tcW w:w="2555" w:type="dxa"/>
          </w:tcPr>
          <w:p w14:paraId="2CD2C1BC" w14:textId="77777777" w:rsidR="002D002A" w:rsidRPr="00B4712C" w:rsidRDefault="00CE6C52" w:rsidP="00D24F73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Concurrencia competitiva</w:t>
            </w:r>
          </w:p>
        </w:tc>
        <w:tc>
          <w:tcPr>
            <w:tcW w:w="2193" w:type="dxa"/>
          </w:tcPr>
          <w:p w14:paraId="2C5F19FF" w14:textId="77777777" w:rsidR="002D002A" w:rsidRPr="00B4712C" w:rsidRDefault="002D002A" w:rsidP="00D24F73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 xml:space="preserve">Régimen de </w:t>
            </w:r>
            <w:proofErr w:type="spellStart"/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mínimis</w:t>
            </w:r>
            <w:proofErr w:type="spellEnd"/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:</w:t>
            </w:r>
          </w:p>
        </w:tc>
        <w:tc>
          <w:tcPr>
            <w:tcW w:w="2374" w:type="dxa"/>
          </w:tcPr>
          <w:p w14:paraId="5775172A" w14:textId="77777777" w:rsidR="002D002A" w:rsidRPr="00B4712C" w:rsidRDefault="00CE6C52" w:rsidP="00D24F73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No</w:t>
            </w:r>
          </w:p>
        </w:tc>
      </w:tr>
      <w:tr w:rsidR="002D002A" w:rsidRPr="00B4712C" w14:paraId="409D73A9" w14:textId="77777777" w:rsidTr="00D24F73">
        <w:tc>
          <w:tcPr>
            <w:tcW w:w="2373" w:type="dxa"/>
          </w:tcPr>
          <w:p w14:paraId="0EF70A8D" w14:textId="77777777" w:rsidR="002D002A" w:rsidRPr="00B4712C" w:rsidRDefault="002D002A" w:rsidP="00D24F73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Tipología del proyecto:</w:t>
            </w:r>
          </w:p>
        </w:tc>
        <w:tc>
          <w:tcPr>
            <w:tcW w:w="2555" w:type="dxa"/>
          </w:tcPr>
          <w:p w14:paraId="365C7041" w14:textId="77777777" w:rsidR="002D002A" w:rsidRPr="00B4712C" w:rsidRDefault="002D002A" w:rsidP="00D24F73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I+D</w:t>
            </w:r>
          </w:p>
        </w:tc>
        <w:tc>
          <w:tcPr>
            <w:tcW w:w="2193" w:type="dxa"/>
          </w:tcPr>
          <w:p w14:paraId="134B4DD3" w14:textId="77777777" w:rsidR="002D002A" w:rsidRPr="00B4712C" w:rsidRDefault="002D002A" w:rsidP="00D24F73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76923C"/>
                <w:sz w:val="18"/>
                <w:szCs w:val="18"/>
              </w:rPr>
            </w:pPr>
            <w:r w:rsidRPr="00B4712C">
              <w:rPr>
                <w:rFonts w:asciiTheme="minorHAnsi" w:hAnsiTheme="minorHAnsi" w:cstheme="minorHAnsi"/>
                <w:color w:val="76923C"/>
                <w:sz w:val="18"/>
                <w:szCs w:val="18"/>
              </w:rPr>
              <w:t>Estado:</w:t>
            </w:r>
          </w:p>
        </w:tc>
        <w:tc>
          <w:tcPr>
            <w:tcW w:w="2374" w:type="dxa"/>
          </w:tcPr>
          <w:p w14:paraId="4AF553D2" w14:textId="25BA6296" w:rsidR="002D002A" w:rsidRPr="00461B18" w:rsidRDefault="00B34707" w:rsidP="003642A0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ABIERTA</w:t>
            </w:r>
            <w:r w:rsidR="00A97CDE"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 xml:space="preserve"> </w:t>
            </w:r>
            <w:r w:rsidR="002745A0"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20</w:t>
            </w:r>
            <w:r w:rsidR="00A97CDE"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 xml:space="preserve"> de mayo hasta</w:t>
            </w:r>
            <w:r w:rsid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 xml:space="preserve"> las 12:00h</w:t>
            </w:r>
            <w:r w:rsidR="00A97CDE"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 xml:space="preserve"> </w:t>
            </w:r>
            <w:r w:rsid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d</w:t>
            </w:r>
            <w:r w:rsidR="00A97CDE"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 xml:space="preserve">el </w:t>
            </w:r>
            <w:r w:rsidR="002745A0"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5</w:t>
            </w:r>
            <w:r w:rsidR="00A97CDE"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 xml:space="preserve"> de julio de 202</w:t>
            </w:r>
            <w:r w:rsidR="002745A0" w:rsidRPr="00712C87">
              <w:rPr>
                <w:rFonts w:asciiTheme="minorHAnsi" w:hAnsiTheme="minorHAnsi" w:cstheme="minorHAnsi"/>
                <w:color w:val="5E5744"/>
                <w:sz w:val="18"/>
                <w:szCs w:val="18"/>
              </w:rPr>
              <w:t>2</w:t>
            </w:r>
          </w:p>
        </w:tc>
      </w:tr>
    </w:tbl>
    <w:p w14:paraId="6670D2C3" w14:textId="77777777" w:rsidR="00D5066F" w:rsidRPr="00B4712C" w:rsidRDefault="003F0C89" w:rsidP="003A1031">
      <w:pPr>
        <w:pStyle w:val="T1"/>
        <w:spacing w:before="100"/>
        <w:rPr>
          <w:rFonts w:asciiTheme="minorHAnsi" w:hAnsiTheme="minorHAnsi" w:cstheme="minorHAnsi"/>
          <w:sz w:val="18"/>
          <w:szCs w:val="18"/>
        </w:rPr>
      </w:pPr>
      <w:r w:rsidRPr="00B4712C">
        <w:rPr>
          <w:rFonts w:asciiTheme="minorHAnsi" w:hAnsiTheme="minorHAnsi" w:cstheme="minorHAnsi"/>
          <w:sz w:val="18"/>
          <w:szCs w:val="18"/>
        </w:rPr>
        <w:t>OBJETO</w:t>
      </w:r>
    </w:p>
    <w:p w14:paraId="03E89629" w14:textId="7070A1FA" w:rsidR="009A009C" w:rsidRPr="00572AD7" w:rsidRDefault="009A009C" w:rsidP="009A009C">
      <w:pPr>
        <w:ind w:firstLine="0"/>
        <w:rPr>
          <w:rFonts w:asciiTheme="minorHAnsi" w:hAnsiTheme="minorHAnsi" w:cstheme="minorHAnsi"/>
          <w:color w:val="000000"/>
          <w:sz w:val="18"/>
          <w:szCs w:val="18"/>
          <w:lang w:eastAsia="es-ES"/>
        </w:rPr>
      </w:pPr>
      <w:bookmarkStart w:id="0" w:name="_Hlk513032260"/>
      <w:r w:rsidRPr="00572AD7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Las ayudas financiarán la puesta en marcha de nuevos proyectos empresariales, que requieran el uso de tecnologías o conocimientos desarrollados</w:t>
      </w:r>
      <w:r w:rsidR="00A47FB4" w:rsidRPr="00572AD7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572AD7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a partir de la actividad investigadora y en los que la estrategia de negocio se base en el desarrollo de tecnología. Asimismo, se prima la incorporación de personas con grado de doctor a la empresa para reforzar sus capacidades de absorción y generación de conocimiento.</w:t>
      </w:r>
    </w:p>
    <w:p w14:paraId="07134848" w14:textId="675B815E" w:rsidR="00A47FB4" w:rsidRPr="00572AD7" w:rsidRDefault="00A47FB4" w:rsidP="00A47FB4">
      <w:pPr>
        <w:ind w:firstLine="0"/>
        <w:rPr>
          <w:rFonts w:asciiTheme="minorHAnsi" w:hAnsiTheme="minorHAnsi" w:cstheme="minorHAnsi"/>
          <w:color w:val="404040" w:themeColor="text1" w:themeTint="BF"/>
          <w:sz w:val="18"/>
          <w:szCs w:val="18"/>
        </w:rPr>
      </w:pPr>
      <w:r w:rsidRPr="00572AD7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Las ayudas podrán destinarse a proyectos empresariales en cualquier ámbito tecnológico y/o sectorial. No obstante, no se adecúan a esta convocatoria los proyectos empresariales cuyo modelo de negocio se base primordialmente en servicios a terceros, sin desarrollo de tecnología propia. Tampoco serán objeto de ayuda aquellas iniciativas que no reflejen claramente en su plan de empresa la continuidad en el desarrollo de tecnología.</w:t>
      </w:r>
    </w:p>
    <w:bookmarkEnd w:id="0"/>
    <w:p w14:paraId="645E4062" w14:textId="6F0AB59E" w:rsidR="003F0C89" w:rsidRPr="00B4712C" w:rsidRDefault="003F0C89" w:rsidP="003F0C89">
      <w:pPr>
        <w:pStyle w:val="T1"/>
        <w:rPr>
          <w:rFonts w:asciiTheme="minorHAnsi" w:hAnsiTheme="minorHAnsi" w:cstheme="minorHAnsi"/>
          <w:sz w:val="18"/>
          <w:szCs w:val="18"/>
        </w:rPr>
      </w:pPr>
      <w:r w:rsidRPr="00B4712C">
        <w:rPr>
          <w:rFonts w:asciiTheme="minorHAnsi" w:hAnsiTheme="minorHAnsi" w:cstheme="minorHAnsi"/>
          <w:sz w:val="18"/>
          <w:szCs w:val="18"/>
        </w:rPr>
        <w:t>BENEFICIARIOS</w:t>
      </w:r>
      <w:r w:rsidR="00373F61" w:rsidRPr="00B4712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58278C" w14:textId="4643B932" w:rsidR="00E01D23" w:rsidRPr="00DA4868" w:rsidRDefault="005F5328" w:rsidP="00542C82">
      <w:pPr>
        <w:ind w:firstLine="0"/>
        <w:rPr>
          <w:rFonts w:asciiTheme="minorHAnsi" w:hAnsiTheme="minorHAnsi" w:cstheme="minorHAnsi"/>
          <w:sz w:val="18"/>
          <w:szCs w:val="18"/>
        </w:rPr>
      </w:pPr>
      <w:bookmarkStart w:id="1" w:name="_Hlk513032305"/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P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equeñas empresa</w:t>
      </w:r>
      <w:r w:rsidR="00C67969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s</w:t>
      </w:r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="005E1E89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innovadoras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, constituidas como máximo en los tres años anteriores a la fecha de</w:t>
      </w:r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cierre del plazo de presentación de solicitudes de ayuda a la presente</w:t>
      </w:r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convocatoria, con un capital social mínimo, o capital social más prima de emisión o</w:t>
      </w:r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asunción, de 20.000 euros, desembolsado íntegramente, e inscrito totalmente en el</w:t>
      </w:r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registro correspondiente antes de la presentación de la solicitud. Asimismo,</w:t>
      </w:r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deberán hallarse al corriente en el cumplimiento de las obligaciones de depósito de</w:t>
      </w:r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cuentas anuales, en su caso, depositadas en el Registro Mercantil o registro oficial</w:t>
      </w:r>
      <w:r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="00542C82" w:rsidRPr="00DA4868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correspondiente a la fecha de presentación de la solicitud de ayuda</w:t>
      </w:r>
      <w:r w:rsidR="00E01D23" w:rsidRPr="00DA4868">
        <w:rPr>
          <w:rFonts w:asciiTheme="minorHAnsi" w:hAnsiTheme="minorHAnsi" w:cstheme="minorHAnsi"/>
          <w:sz w:val="18"/>
          <w:szCs w:val="18"/>
        </w:rPr>
        <w:t>.</w:t>
      </w:r>
    </w:p>
    <w:p w14:paraId="62DCB471" w14:textId="77777777" w:rsidR="00580035" w:rsidRPr="00B4712C" w:rsidRDefault="009736C8" w:rsidP="009E4F71">
      <w:pPr>
        <w:pStyle w:val="T1"/>
        <w:rPr>
          <w:rFonts w:asciiTheme="minorHAnsi" w:hAnsiTheme="minorHAnsi" w:cstheme="minorHAnsi"/>
          <w:sz w:val="18"/>
          <w:szCs w:val="18"/>
        </w:rPr>
      </w:pPr>
      <w:bookmarkStart w:id="2" w:name="_Hlk513032384"/>
      <w:bookmarkEnd w:id="1"/>
      <w:r w:rsidRPr="00B4712C">
        <w:rPr>
          <w:rFonts w:asciiTheme="minorHAnsi" w:hAnsiTheme="minorHAnsi" w:cstheme="minorHAnsi"/>
          <w:sz w:val="18"/>
          <w:szCs w:val="18"/>
        </w:rPr>
        <w:t>CARACTERÍSTICAS DE LAS AYUDAS</w:t>
      </w:r>
      <w:r w:rsidR="00321B4D" w:rsidRPr="00B4712C">
        <w:rPr>
          <w:rFonts w:asciiTheme="minorHAnsi" w:hAnsiTheme="minorHAnsi" w:cstheme="minorHAnsi"/>
          <w:sz w:val="18"/>
          <w:szCs w:val="18"/>
        </w:rPr>
        <w:t xml:space="preserve"> E IMPORTES</w:t>
      </w:r>
    </w:p>
    <w:p w14:paraId="3F3CDD44" w14:textId="41230F67" w:rsidR="00F81A0B" w:rsidRPr="00712C87" w:rsidRDefault="00005F06" w:rsidP="00407A84">
      <w:pPr>
        <w:ind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Con carácter</w:t>
      </w:r>
      <w:r w:rsidR="003015AB" w:rsidRPr="00712C87">
        <w:rPr>
          <w:color w:val="auto"/>
          <w:sz w:val="18"/>
          <w:szCs w:val="18"/>
        </w:rPr>
        <w:t xml:space="preserve"> </w:t>
      </w:r>
      <w:r w:rsidRPr="00712C87">
        <w:rPr>
          <w:color w:val="auto"/>
          <w:sz w:val="18"/>
          <w:szCs w:val="18"/>
        </w:rPr>
        <w:t>general, se podrá financiar hasta el 70% del presupuesto elegible de la actuación,</w:t>
      </w:r>
      <w:r w:rsidR="003015AB" w:rsidRPr="00712C87">
        <w:rPr>
          <w:color w:val="auto"/>
          <w:sz w:val="18"/>
          <w:szCs w:val="18"/>
        </w:rPr>
        <w:t xml:space="preserve"> </w:t>
      </w:r>
      <w:r w:rsidRPr="00712C87">
        <w:rPr>
          <w:color w:val="auto"/>
          <w:sz w:val="18"/>
          <w:szCs w:val="18"/>
        </w:rPr>
        <w:t>con un importe máximo de subvención de 250.000 euros por beneficiario.</w:t>
      </w:r>
    </w:p>
    <w:p w14:paraId="108B4585" w14:textId="14665645" w:rsidR="00C90102" w:rsidRPr="00712C87" w:rsidRDefault="00C90102" w:rsidP="00407A84">
      <w:pPr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Las actuaciones que incluyan la contratación laboral de al menos un doctor, en los términos previstos en el Anexo I de la convocatoria, se podrán financiar hasta el 85% del presupuesto elegible de la actuación, con un importe máximo de subvención de 325.000 euros por beneficiario.</w:t>
      </w:r>
    </w:p>
    <w:p w14:paraId="7B30A0F5" w14:textId="2B4E4CE7" w:rsidR="00407A84" w:rsidRPr="00712C87" w:rsidRDefault="00407A84" w:rsidP="00407A84">
      <w:pPr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 xml:space="preserve">Posibilidad de acceder a un curso en el "Enterprise Innovation </w:t>
      </w:r>
      <w:proofErr w:type="spellStart"/>
      <w:r w:rsidRPr="00712C87">
        <w:rPr>
          <w:color w:val="auto"/>
          <w:sz w:val="18"/>
          <w:szCs w:val="18"/>
        </w:rPr>
        <w:t>Institute</w:t>
      </w:r>
      <w:proofErr w:type="spellEnd"/>
      <w:r w:rsidRPr="00712C87">
        <w:rPr>
          <w:color w:val="auto"/>
          <w:sz w:val="18"/>
          <w:szCs w:val="18"/>
        </w:rPr>
        <w:t xml:space="preserve">" de la Universidad de Georgia (Atlanta, </w:t>
      </w:r>
      <w:proofErr w:type="gramStart"/>
      <w:r w:rsidR="009A40D9" w:rsidRPr="00712C87">
        <w:rPr>
          <w:color w:val="auto"/>
          <w:sz w:val="18"/>
          <w:szCs w:val="18"/>
        </w:rPr>
        <w:t>EE.UU.</w:t>
      </w:r>
      <w:proofErr w:type="gramEnd"/>
      <w:r w:rsidRPr="00712C87">
        <w:rPr>
          <w:color w:val="auto"/>
          <w:sz w:val="18"/>
          <w:szCs w:val="18"/>
        </w:rPr>
        <w:t>) para reforzar la capacitación de la empresa. La cuantía de la ayuda se podrá incrementar hasta 10.000 euros en las actuaciones que soliciten esta formación, y cumplan los requisitos, indicados en el Anexo II de la convocatoria.</w:t>
      </w:r>
    </w:p>
    <w:p w14:paraId="139BDDBA" w14:textId="77777777" w:rsidR="00407A84" w:rsidRPr="00712C87" w:rsidRDefault="00407A84" w:rsidP="00407A84">
      <w:pPr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Presupuesto mínimo financiable: 175.000 euros.</w:t>
      </w:r>
    </w:p>
    <w:p w14:paraId="5C9162B7" w14:textId="77777777" w:rsidR="00407A84" w:rsidRPr="00712C87" w:rsidRDefault="00407A84" w:rsidP="00407A84">
      <w:pPr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Proyectos de 1 o 2 años de duración. Deberán iniciarse a partir del 1 de enero de 2023, y podrán finalizar el 31 de diciembre de 2023, en el caso de un año de duración, o bien el 31 de diciembre de 2024, si el proyecto tiene una duración de dos años.</w:t>
      </w:r>
    </w:p>
    <w:p w14:paraId="1687257A" w14:textId="5AB84BEA" w:rsidR="00407A84" w:rsidRPr="00712C87" w:rsidRDefault="00407A84" w:rsidP="00407A84">
      <w:pPr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Las actuaciones deberán respetar el principio de no causar un perjuicio significativo al medioambiente (</w:t>
      </w:r>
      <w:r w:rsidRPr="00712C87">
        <w:rPr>
          <w:b/>
          <w:bCs/>
          <w:color w:val="auto"/>
          <w:sz w:val="18"/>
          <w:szCs w:val="18"/>
        </w:rPr>
        <w:t>principio DNSH</w:t>
      </w:r>
      <w:r w:rsidRPr="00712C87">
        <w:rPr>
          <w:color w:val="auto"/>
          <w:sz w:val="18"/>
          <w:szCs w:val="18"/>
        </w:rPr>
        <w:t>) lo que comporta el cumplimiento de condiciones específicas.</w:t>
      </w:r>
    </w:p>
    <w:p w14:paraId="555112F6" w14:textId="225144E1" w:rsidR="00407A84" w:rsidRDefault="00407A84" w:rsidP="00C90102">
      <w:pPr>
        <w:ind w:firstLine="0"/>
        <w:jc w:val="left"/>
        <w:rPr>
          <w:sz w:val="18"/>
          <w:szCs w:val="18"/>
        </w:rPr>
      </w:pPr>
    </w:p>
    <w:p w14:paraId="0B9251A2" w14:textId="09318DFE" w:rsidR="00F81A0B" w:rsidRPr="00712C87" w:rsidRDefault="002C3B56" w:rsidP="002C3B56">
      <w:pPr>
        <w:ind w:firstLine="0"/>
        <w:jc w:val="left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L</w:t>
      </w:r>
      <w:r w:rsidR="00BC2E18" w:rsidRPr="00712C87">
        <w:rPr>
          <w:color w:val="auto"/>
          <w:sz w:val="18"/>
          <w:szCs w:val="18"/>
        </w:rPr>
        <w:t>a cuantía de la ayuda se podrá incrementar hasta 10.000</w:t>
      </w:r>
      <w:r w:rsidR="00D246AA" w:rsidRPr="00712C87">
        <w:rPr>
          <w:color w:val="auto"/>
          <w:sz w:val="18"/>
          <w:szCs w:val="18"/>
        </w:rPr>
        <w:t xml:space="preserve"> </w:t>
      </w:r>
      <w:r w:rsidR="00BC2E18" w:rsidRPr="00712C87">
        <w:rPr>
          <w:color w:val="auto"/>
          <w:sz w:val="18"/>
          <w:szCs w:val="18"/>
        </w:rPr>
        <w:t>euros en las actuaciones que hayan solicitado la formación prevista en la</w:t>
      </w:r>
      <w:r w:rsidRPr="00712C87">
        <w:rPr>
          <w:color w:val="auto"/>
          <w:sz w:val="18"/>
          <w:szCs w:val="18"/>
        </w:rPr>
        <w:t xml:space="preserve"> </w:t>
      </w:r>
      <w:r w:rsidR="00BC2E18" w:rsidRPr="00712C87">
        <w:rPr>
          <w:color w:val="auto"/>
          <w:sz w:val="18"/>
          <w:szCs w:val="18"/>
        </w:rPr>
        <w:t>convocatoria y cumplan todos los requisitos indicados en la misma al respecto</w:t>
      </w:r>
      <w:r w:rsidR="007F4E3B" w:rsidRPr="00712C87">
        <w:rPr>
          <w:color w:val="auto"/>
          <w:sz w:val="18"/>
          <w:szCs w:val="18"/>
        </w:rPr>
        <w:t>.</w:t>
      </w:r>
    </w:p>
    <w:p w14:paraId="18606C90" w14:textId="44E4BD92" w:rsidR="00C90102" w:rsidRPr="00B4712C" w:rsidRDefault="00C90102" w:rsidP="00C90102">
      <w:pPr>
        <w:pStyle w:val="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criterios</w:t>
      </w:r>
    </w:p>
    <w:p w14:paraId="3648CAB5" w14:textId="212ABDD2" w:rsidR="001A5E88" w:rsidRPr="00712C87" w:rsidRDefault="00C90102" w:rsidP="00C90102">
      <w:pPr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Los criterios de evaluación, tal y como se indica en el artículo 23 de la Orden CIN/373/2022, son: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8"/>
        <w:gridCol w:w="1204"/>
        <w:gridCol w:w="927"/>
      </w:tblGrid>
      <w:tr w:rsidR="00712C87" w:rsidRPr="00712C87" w14:paraId="1A522C17" w14:textId="77777777" w:rsidTr="00C90102">
        <w:trPr>
          <w:tblCellSpacing w:w="15" w:type="dxa"/>
        </w:trPr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3227CF07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  <w:t>Criterio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3C3E1B41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  <w:t>Puntuación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35A8730B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  <w:t>Umbral</w:t>
            </w:r>
          </w:p>
        </w:tc>
      </w:tr>
      <w:tr w:rsidR="00712C87" w:rsidRPr="00712C87" w14:paraId="2C684378" w14:textId="77777777" w:rsidTr="00C90102">
        <w:trPr>
          <w:tblCellSpacing w:w="15" w:type="dxa"/>
        </w:trPr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5D721F95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  <w:t>1. Valoración del plan de explotación comercial del proyecto.</w:t>
            </w:r>
          </w:p>
          <w:p w14:paraId="7E327DED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Se valorará el modelo de negocio, la previsión de generación de ingresos, el mercado potencial, las barreras de entrada al mercado, la competencia y las ventajas del producto/proceso/servicio.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7215F564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0 - 30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4F73E6C0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15</w:t>
            </w:r>
          </w:p>
        </w:tc>
      </w:tr>
      <w:tr w:rsidR="00712C87" w:rsidRPr="00712C87" w14:paraId="638F5E7B" w14:textId="77777777" w:rsidTr="00C90102">
        <w:trPr>
          <w:tblCellSpacing w:w="15" w:type="dxa"/>
        </w:trPr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36F125C4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  <w:t>2. Valoración de la tecnología e innovación del proyecto.</w:t>
            </w:r>
          </w:p>
          <w:p w14:paraId="5C429B81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Se valorará la tecnología propuesta, la necesidad tecnológica y su valor diferencial, la innovación y el reto técnico. Así mismo, se analizará el plan de gestión de la propiedad intelectual e industrial. También se tendrán en cuenta la calidad y claridad de la presentación de la propuesta.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025492C3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0 - 35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018EEFBA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21</w:t>
            </w:r>
          </w:p>
        </w:tc>
      </w:tr>
      <w:tr w:rsidR="00712C87" w:rsidRPr="00712C87" w14:paraId="411BD353" w14:textId="77777777" w:rsidTr="00C90102">
        <w:trPr>
          <w:tblCellSpacing w:w="15" w:type="dxa"/>
        </w:trPr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0E287018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  <w:t>3. Capacidad de gestión del equipo emprendedor involucrado en el desarrollo empresarial.</w:t>
            </w:r>
          </w:p>
          <w:p w14:paraId="4061002A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 xml:space="preserve">Se valorarán la competencia y la formación y experiencia profesional previas </w:t>
            </w:r>
            <w:proofErr w:type="gramStart"/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en relación al</w:t>
            </w:r>
            <w:proofErr w:type="gramEnd"/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 xml:space="preserve"> proyecto. También se tendrá en cuenta el grado de compromiso y la dedicación del equipo técnico y gestor con el proyecto empresarial y la capacidad de relación. También se valorará la vinculación del equipo con redes y entornos de apoyo al emprendimiento.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645034FB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0 - 30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740D6655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15</w:t>
            </w:r>
          </w:p>
        </w:tc>
      </w:tr>
      <w:tr w:rsidR="00712C87" w:rsidRPr="00712C87" w14:paraId="0D11FA87" w14:textId="77777777" w:rsidTr="00C90102">
        <w:trPr>
          <w:tblCellSpacing w:w="15" w:type="dxa"/>
        </w:trPr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6386E826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s-ES"/>
              </w:rPr>
              <w:t>4. Valoración del impacto socioeconómico y medio ambiental.</w:t>
            </w:r>
          </w:p>
          <w:p w14:paraId="4984E135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Se valorará la creación de empleo prevista en el plan de negocio, las inversiones privadas movilizadas y las medidas orientadas a la igualdad de género, a la inclusión social y la sostenibilidad.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09C07B35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0 - 5</w:t>
            </w:r>
          </w:p>
        </w:tc>
        <w:tc>
          <w:tcPr>
            <w:tcW w:w="0" w:type="auto"/>
            <w:tcBorders>
              <w:top w:val="single" w:sz="6" w:space="0" w:color="D7D7DD"/>
              <w:left w:val="single" w:sz="6" w:space="0" w:color="D7D7DD"/>
              <w:bottom w:val="single" w:sz="6" w:space="0" w:color="D7D7DD"/>
              <w:right w:val="single" w:sz="6" w:space="0" w:color="D7D7DD"/>
            </w:tcBorders>
            <w:shd w:val="clear" w:color="auto" w:fill="FFFFFF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14:paraId="384368A3" w14:textId="77777777" w:rsidR="00C90102" w:rsidRPr="00712C87" w:rsidRDefault="00C90102" w:rsidP="00C90102">
            <w:pPr>
              <w:spacing w:after="18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</w:pPr>
            <w:r w:rsidRPr="00712C8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</w:rPr>
              <w:t>NA</w:t>
            </w:r>
          </w:p>
        </w:tc>
      </w:tr>
    </w:tbl>
    <w:p w14:paraId="7FC0F774" w14:textId="77777777" w:rsidR="00C90102" w:rsidRDefault="00C90102" w:rsidP="00C90102">
      <w:pPr>
        <w:ind w:firstLine="0"/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</w:pPr>
    </w:p>
    <w:bookmarkEnd w:id="2"/>
    <w:p w14:paraId="3173052C" w14:textId="77777777" w:rsidR="00E54A67" w:rsidRPr="00B4712C" w:rsidRDefault="009736C8" w:rsidP="00E54A67">
      <w:pPr>
        <w:pStyle w:val="T1"/>
        <w:rPr>
          <w:rFonts w:asciiTheme="minorHAnsi" w:hAnsiTheme="minorHAnsi" w:cstheme="minorHAnsi"/>
          <w:sz w:val="18"/>
          <w:szCs w:val="18"/>
        </w:rPr>
      </w:pPr>
      <w:r w:rsidRPr="00B4712C">
        <w:rPr>
          <w:rFonts w:asciiTheme="minorHAnsi" w:hAnsiTheme="minorHAnsi" w:cstheme="minorHAnsi"/>
          <w:sz w:val="18"/>
          <w:szCs w:val="18"/>
        </w:rPr>
        <w:t>GASTOS SUBVENCIONABLES</w:t>
      </w:r>
    </w:p>
    <w:p w14:paraId="5E9510DB" w14:textId="77777777" w:rsidR="00C15F26" w:rsidRPr="00712C87" w:rsidRDefault="00C15F26" w:rsidP="00712C87">
      <w:pPr>
        <w:pStyle w:val="NormalWeb"/>
        <w:spacing w:before="0" w:beforeAutospacing="0" w:after="18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513032588"/>
      <w:r w:rsidRPr="00712C87">
        <w:rPr>
          <w:rFonts w:asciiTheme="minorHAnsi" w:hAnsiTheme="minorHAnsi" w:cstheme="minorHAnsi"/>
          <w:sz w:val="18"/>
          <w:szCs w:val="18"/>
        </w:rPr>
        <w:t xml:space="preserve">Se financiarán los costes derivados de la puesta en marcha de un nuevo proyecto empresarial de empresas innovadoras, siempre que estén incluidos en el plan de empresa y sean necesarios para el desarrollo </w:t>
      </w:r>
      <w:proofErr w:type="gramStart"/>
      <w:r w:rsidRPr="00712C87">
        <w:rPr>
          <w:rFonts w:asciiTheme="minorHAnsi" w:hAnsiTheme="minorHAnsi" w:cstheme="minorHAnsi"/>
          <w:sz w:val="18"/>
          <w:szCs w:val="18"/>
        </w:rPr>
        <w:t>del mismo</w:t>
      </w:r>
      <w:proofErr w:type="gramEnd"/>
      <w:r w:rsidRPr="00712C87">
        <w:rPr>
          <w:rFonts w:asciiTheme="minorHAnsi" w:hAnsiTheme="minorHAnsi" w:cstheme="minorHAnsi"/>
          <w:sz w:val="18"/>
          <w:szCs w:val="18"/>
        </w:rPr>
        <w:t>.</w:t>
      </w:r>
    </w:p>
    <w:p w14:paraId="702A35E1" w14:textId="77777777" w:rsidR="00C15F26" w:rsidRPr="00712C87" w:rsidRDefault="00C15F26" w:rsidP="00712C87">
      <w:pPr>
        <w:pStyle w:val="NormalWeb"/>
        <w:spacing w:before="0" w:beforeAutospacing="0" w:after="18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2C87">
        <w:rPr>
          <w:rFonts w:asciiTheme="minorHAnsi" w:hAnsiTheme="minorHAnsi" w:cstheme="minorHAnsi"/>
          <w:sz w:val="18"/>
          <w:szCs w:val="18"/>
        </w:rPr>
        <w:t>Se podrán financiar los siguientes gastos:</w:t>
      </w:r>
    </w:p>
    <w:p w14:paraId="300B0220" w14:textId="77777777" w:rsidR="00C15F26" w:rsidRPr="00712C87" w:rsidRDefault="00C15F26" w:rsidP="00712C87">
      <w:pPr>
        <w:pStyle w:val="NormalWeb"/>
        <w:spacing w:before="0" w:beforeAutospacing="0" w:after="18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2C87">
        <w:rPr>
          <w:rFonts w:asciiTheme="minorHAnsi" w:hAnsiTheme="minorHAnsi" w:cstheme="minorHAnsi"/>
          <w:sz w:val="18"/>
          <w:szCs w:val="18"/>
        </w:rPr>
        <w:t xml:space="preserve"> a) Inversiones en equipos,</w:t>
      </w:r>
    </w:p>
    <w:p w14:paraId="6569524E" w14:textId="77777777" w:rsidR="00C15F26" w:rsidRPr="00712C87" w:rsidRDefault="00C15F26" w:rsidP="00712C87">
      <w:pPr>
        <w:pStyle w:val="NormalWeb"/>
        <w:spacing w:before="0" w:beforeAutospacing="0" w:after="18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2C87">
        <w:rPr>
          <w:rFonts w:asciiTheme="minorHAnsi" w:hAnsiTheme="minorHAnsi" w:cstheme="minorHAnsi"/>
          <w:sz w:val="18"/>
          <w:szCs w:val="18"/>
        </w:rPr>
        <w:t xml:space="preserve"> b) Gastos de personal, </w:t>
      </w:r>
    </w:p>
    <w:p w14:paraId="2C49B3BF" w14:textId="29BB8A97" w:rsidR="00C15F26" w:rsidRPr="00712C87" w:rsidRDefault="00C15F26" w:rsidP="00712C87">
      <w:pPr>
        <w:pStyle w:val="NormalWeb"/>
        <w:spacing w:before="0" w:beforeAutospacing="0" w:after="18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2C87">
        <w:rPr>
          <w:rFonts w:asciiTheme="minorHAnsi" w:hAnsiTheme="minorHAnsi" w:cstheme="minorHAnsi"/>
          <w:sz w:val="18"/>
          <w:szCs w:val="18"/>
        </w:rPr>
        <w:t xml:space="preserve"> c) Materiales, </w:t>
      </w:r>
    </w:p>
    <w:p w14:paraId="5AD3BD41" w14:textId="1AC07DFA" w:rsidR="00C15F26" w:rsidRPr="00712C87" w:rsidRDefault="00C15F26" w:rsidP="00712C87">
      <w:pPr>
        <w:pStyle w:val="NormalWeb"/>
        <w:spacing w:before="0" w:beforeAutospacing="0" w:after="18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2C87">
        <w:rPr>
          <w:rFonts w:asciiTheme="minorHAnsi" w:hAnsiTheme="minorHAnsi" w:cstheme="minorHAnsi"/>
          <w:sz w:val="18"/>
          <w:szCs w:val="18"/>
        </w:rPr>
        <w:t xml:space="preserve"> d) Colaboraciones externas / asesoría, </w:t>
      </w:r>
    </w:p>
    <w:p w14:paraId="17B49387" w14:textId="65AD9F5C" w:rsidR="00C15F26" w:rsidRPr="00712C87" w:rsidRDefault="00C15F26" w:rsidP="00712C87">
      <w:pPr>
        <w:pStyle w:val="NormalWeb"/>
        <w:spacing w:before="0" w:beforeAutospacing="0" w:after="18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2C87">
        <w:rPr>
          <w:rFonts w:asciiTheme="minorHAnsi" w:hAnsiTheme="minorHAnsi" w:cstheme="minorHAnsi"/>
          <w:sz w:val="18"/>
          <w:szCs w:val="18"/>
        </w:rPr>
        <w:t xml:space="preserve"> e) Otros costes: alquileres, suministros, cánones y licencias, gastos de solicitud y mantenimiento de patentes y otros derechos de propiedad industrial, seguros y gastos derivados del informe de auditor. Estos últimos tendrán un límite máximo de 2.000 euros por beneficiario y anualidad.</w:t>
      </w:r>
    </w:p>
    <w:p w14:paraId="058C6016" w14:textId="77777777" w:rsidR="00C15F26" w:rsidRPr="00712C87" w:rsidRDefault="00C15F26" w:rsidP="00712C87">
      <w:pPr>
        <w:pStyle w:val="NormalWeb"/>
        <w:spacing w:before="0" w:beforeAutospacing="0" w:after="18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2C87">
        <w:rPr>
          <w:rFonts w:asciiTheme="minorHAnsi" w:hAnsiTheme="minorHAnsi" w:cstheme="minorHAnsi"/>
          <w:sz w:val="18"/>
          <w:szCs w:val="18"/>
        </w:rPr>
        <w:lastRenderedPageBreak/>
        <w:t>En esta convocatoria también serán subvencionables los gastos de promoción y difusión, así como los gastos de formación, previstos en el Anexo II. </w:t>
      </w:r>
    </w:p>
    <w:p w14:paraId="672D2C8A" w14:textId="4FA3C664" w:rsidR="00EF086D" w:rsidRPr="00B4712C" w:rsidRDefault="00EA08FE" w:rsidP="00EF086D">
      <w:pPr>
        <w:pStyle w:val="T1"/>
        <w:rPr>
          <w:rFonts w:ascii="Calibri" w:hAnsi="Calibri"/>
          <w:sz w:val="18"/>
          <w:szCs w:val="18"/>
        </w:rPr>
      </w:pPr>
      <w:r w:rsidRPr="00B4712C">
        <w:rPr>
          <w:rFonts w:ascii="Calibri" w:hAnsi="Calibri"/>
          <w:sz w:val="18"/>
          <w:szCs w:val="18"/>
        </w:rPr>
        <w:t xml:space="preserve">ÓRGANO GESTOR </w:t>
      </w:r>
    </w:p>
    <w:bookmarkEnd w:id="3"/>
    <w:p w14:paraId="212CAFD2" w14:textId="0A3C497B" w:rsidR="00B243C7" w:rsidRPr="00712C87" w:rsidRDefault="00C82618" w:rsidP="00CE6C52">
      <w:pPr>
        <w:spacing w:after="0"/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Ministerio de Ciencia e Innovación-</w:t>
      </w:r>
      <w:r w:rsidR="00CE6C52" w:rsidRPr="00712C87">
        <w:rPr>
          <w:b/>
          <w:color w:val="auto"/>
          <w:sz w:val="18"/>
          <w:szCs w:val="18"/>
        </w:rPr>
        <w:t>CDTI</w:t>
      </w:r>
      <w:r w:rsidRPr="00712C87">
        <w:rPr>
          <w:b/>
          <w:color w:val="auto"/>
          <w:sz w:val="18"/>
          <w:szCs w:val="18"/>
        </w:rPr>
        <w:t xml:space="preserve"> </w:t>
      </w:r>
      <w:r w:rsidR="00CE6C52" w:rsidRPr="00712C87">
        <w:rPr>
          <w:color w:val="auto"/>
          <w:sz w:val="18"/>
          <w:szCs w:val="18"/>
        </w:rPr>
        <w:t xml:space="preserve"> </w:t>
      </w:r>
      <w:hyperlink r:id="rId17" w:history="1">
        <w:r w:rsidR="00CE6C52" w:rsidRPr="00712C87">
          <w:rPr>
            <w:color w:val="auto"/>
            <w:sz w:val="18"/>
            <w:szCs w:val="18"/>
          </w:rPr>
          <w:t>www.cdti.es</w:t>
        </w:r>
      </w:hyperlink>
    </w:p>
    <w:p w14:paraId="4A61C881" w14:textId="7828A06D" w:rsidR="003F0C89" w:rsidRPr="00B4712C" w:rsidRDefault="009736C8" w:rsidP="00D36682">
      <w:pPr>
        <w:pStyle w:val="T1"/>
        <w:rPr>
          <w:rFonts w:ascii="Calibri" w:hAnsi="Calibri"/>
          <w:sz w:val="18"/>
          <w:szCs w:val="18"/>
        </w:rPr>
      </w:pPr>
      <w:r w:rsidRPr="00B4712C">
        <w:rPr>
          <w:rFonts w:ascii="Calibri" w:hAnsi="Calibri"/>
          <w:sz w:val="18"/>
          <w:szCs w:val="18"/>
        </w:rPr>
        <w:t xml:space="preserve">PLAZO Y FORMA DE </w:t>
      </w:r>
      <w:r w:rsidR="009A40D9" w:rsidRPr="00B4712C">
        <w:rPr>
          <w:rFonts w:ascii="Calibri" w:hAnsi="Calibri"/>
          <w:sz w:val="18"/>
          <w:szCs w:val="18"/>
        </w:rPr>
        <w:t>PRESENTACIÓN</w:t>
      </w:r>
      <w:r w:rsidRPr="00B4712C">
        <w:rPr>
          <w:rFonts w:ascii="Calibri" w:hAnsi="Calibri"/>
          <w:sz w:val="18"/>
          <w:szCs w:val="18"/>
        </w:rPr>
        <w:t xml:space="preserve"> DE SOLICITUDES</w:t>
      </w:r>
    </w:p>
    <w:p w14:paraId="2455E611" w14:textId="6BE7BCA5" w:rsidR="00E2244B" w:rsidRPr="00712C87" w:rsidRDefault="009736C8" w:rsidP="00712C87">
      <w:pPr>
        <w:spacing w:after="0"/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>El plazo de presentación de las solicitudes</w:t>
      </w:r>
      <w:r w:rsidR="003B6CF2" w:rsidRPr="00712C87">
        <w:rPr>
          <w:color w:val="auto"/>
          <w:sz w:val="18"/>
          <w:szCs w:val="18"/>
        </w:rPr>
        <w:t xml:space="preserve"> </w:t>
      </w:r>
      <w:r w:rsidR="000B28D4" w:rsidRPr="00712C87">
        <w:rPr>
          <w:color w:val="auto"/>
          <w:sz w:val="18"/>
          <w:szCs w:val="18"/>
        </w:rPr>
        <w:t xml:space="preserve">y documentación anexa </w:t>
      </w:r>
      <w:r w:rsidR="001F6DB3" w:rsidRPr="00712C87">
        <w:rPr>
          <w:color w:val="auto"/>
          <w:sz w:val="18"/>
          <w:szCs w:val="18"/>
        </w:rPr>
        <w:t>estará</w:t>
      </w:r>
      <w:r w:rsidR="003B6CF2" w:rsidRPr="00712C87">
        <w:rPr>
          <w:color w:val="auto"/>
          <w:sz w:val="18"/>
          <w:szCs w:val="18"/>
        </w:rPr>
        <w:t xml:space="preserve"> abierto desde el </w:t>
      </w:r>
      <w:r w:rsidR="00A36F4E" w:rsidRPr="00712C87">
        <w:rPr>
          <w:color w:val="auto"/>
          <w:sz w:val="18"/>
          <w:szCs w:val="18"/>
        </w:rPr>
        <w:t>20</w:t>
      </w:r>
      <w:r w:rsidR="003B6CF2" w:rsidRPr="00712C87">
        <w:rPr>
          <w:color w:val="auto"/>
          <w:sz w:val="18"/>
          <w:szCs w:val="18"/>
        </w:rPr>
        <w:t xml:space="preserve"> de mayo de 202</w:t>
      </w:r>
      <w:r w:rsidR="00A36F4E" w:rsidRPr="00712C87">
        <w:rPr>
          <w:color w:val="auto"/>
          <w:sz w:val="18"/>
          <w:szCs w:val="18"/>
        </w:rPr>
        <w:t>2</w:t>
      </w:r>
      <w:r w:rsidR="003B6CF2" w:rsidRPr="00712C87">
        <w:rPr>
          <w:color w:val="auto"/>
          <w:sz w:val="18"/>
          <w:szCs w:val="18"/>
        </w:rPr>
        <w:t xml:space="preserve"> y finalizará el </w:t>
      </w:r>
      <w:r w:rsidR="001F6DB3" w:rsidRPr="00712C87">
        <w:rPr>
          <w:color w:val="auto"/>
          <w:sz w:val="18"/>
          <w:szCs w:val="18"/>
        </w:rPr>
        <w:t>5</w:t>
      </w:r>
      <w:r w:rsidR="003B6CF2" w:rsidRPr="00712C87">
        <w:rPr>
          <w:color w:val="auto"/>
          <w:sz w:val="18"/>
          <w:szCs w:val="18"/>
        </w:rPr>
        <w:t xml:space="preserve"> de julio de 202</w:t>
      </w:r>
      <w:r w:rsidR="00A36F4E" w:rsidRPr="00712C87">
        <w:rPr>
          <w:color w:val="auto"/>
          <w:sz w:val="18"/>
          <w:szCs w:val="18"/>
        </w:rPr>
        <w:t>2</w:t>
      </w:r>
      <w:r w:rsidR="003B6CF2" w:rsidRPr="00712C87">
        <w:rPr>
          <w:color w:val="auto"/>
          <w:sz w:val="18"/>
          <w:szCs w:val="18"/>
        </w:rPr>
        <w:t xml:space="preserve"> a </w:t>
      </w:r>
      <w:r w:rsidR="003642A0" w:rsidRPr="00712C87">
        <w:rPr>
          <w:color w:val="auto"/>
          <w:sz w:val="18"/>
          <w:szCs w:val="18"/>
        </w:rPr>
        <w:t>las 12:00 horas del mediodía</w:t>
      </w:r>
      <w:r w:rsidR="003B6CF2" w:rsidRPr="00712C87">
        <w:rPr>
          <w:color w:val="auto"/>
          <w:sz w:val="18"/>
          <w:szCs w:val="18"/>
        </w:rPr>
        <w:t>, hora peninsular.</w:t>
      </w:r>
      <w:r w:rsidR="00E2244B" w:rsidRPr="00712C87">
        <w:rPr>
          <w:color w:val="auto"/>
          <w:sz w:val="18"/>
          <w:szCs w:val="18"/>
        </w:rPr>
        <w:t xml:space="preserve"> </w:t>
      </w:r>
    </w:p>
    <w:p w14:paraId="0E67CE8E" w14:textId="1E224EB8" w:rsidR="00424714" w:rsidRPr="00712C87" w:rsidRDefault="00981C4C" w:rsidP="00712C87">
      <w:pPr>
        <w:spacing w:after="0"/>
        <w:ind w:firstLine="0"/>
        <w:rPr>
          <w:color w:val="auto"/>
          <w:sz w:val="18"/>
          <w:szCs w:val="18"/>
        </w:rPr>
      </w:pPr>
      <w:r w:rsidRPr="00712C87">
        <w:rPr>
          <w:color w:val="auto"/>
          <w:sz w:val="18"/>
          <w:szCs w:val="18"/>
        </w:rPr>
        <w:t xml:space="preserve">La cumplimentación y presentación de las solicitudes se realizará a través de la sede electrónica del CDTI </w:t>
      </w:r>
      <w:r w:rsidR="00C90102" w:rsidRPr="00712C87">
        <w:rPr>
          <w:color w:val="auto"/>
          <w:sz w:val="18"/>
          <w:szCs w:val="18"/>
        </w:rPr>
        <w:t>https://sede.cdti.gob.es/AreaPrivada/Expedientes/accesosistema.aspx</w:t>
      </w:r>
    </w:p>
    <w:p w14:paraId="3F6BCFCA" w14:textId="77777777" w:rsidR="00BF1526" w:rsidRPr="00B4712C" w:rsidRDefault="00BF1526" w:rsidP="003642A0">
      <w:pPr>
        <w:spacing w:after="0"/>
        <w:ind w:firstLine="0"/>
        <w:rPr>
          <w:sz w:val="18"/>
          <w:szCs w:val="18"/>
        </w:rPr>
      </w:pPr>
    </w:p>
    <w:p w14:paraId="260F46AF" w14:textId="77777777" w:rsidR="00BF1526" w:rsidRDefault="00BF1526" w:rsidP="003642A0">
      <w:pPr>
        <w:spacing w:after="0"/>
        <w:ind w:firstLine="0"/>
        <w:rPr>
          <w:szCs w:val="20"/>
        </w:rPr>
      </w:pPr>
    </w:p>
    <w:p w14:paraId="33177A4C" w14:textId="77777777" w:rsidR="00BF1526" w:rsidRDefault="00BF1526" w:rsidP="003642A0">
      <w:pPr>
        <w:spacing w:after="0"/>
        <w:ind w:firstLine="0"/>
        <w:rPr>
          <w:szCs w:val="20"/>
        </w:rPr>
      </w:pPr>
    </w:p>
    <w:p w14:paraId="40E8DA8C" w14:textId="77777777" w:rsidR="007549A9" w:rsidRDefault="007549A9" w:rsidP="003642A0">
      <w:pPr>
        <w:spacing w:after="0"/>
        <w:ind w:firstLine="0"/>
        <w:rPr>
          <w:szCs w:val="20"/>
        </w:rPr>
      </w:pPr>
    </w:p>
    <w:p w14:paraId="03949CD9" w14:textId="77777777" w:rsidR="007549A9" w:rsidRDefault="007549A9" w:rsidP="003642A0">
      <w:pPr>
        <w:spacing w:after="0"/>
        <w:ind w:firstLine="0"/>
        <w:rPr>
          <w:szCs w:val="20"/>
        </w:rPr>
      </w:pPr>
    </w:p>
    <w:p w14:paraId="1ABC275E" w14:textId="77777777" w:rsidR="007549A9" w:rsidRDefault="007549A9" w:rsidP="003642A0">
      <w:pPr>
        <w:spacing w:after="0"/>
        <w:ind w:firstLine="0"/>
        <w:rPr>
          <w:szCs w:val="20"/>
        </w:rPr>
      </w:pPr>
    </w:p>
    <w:p w14:paraId="6DEDA7C7" w14:textId="77777777" w:rsidR="007549A9" w:rsidRDefault="007549A9" w:rsidP="003642A0">
      <w:pPr>
        <w:spacing w:after="0"/>
        <w:ind w:firstLine="0"/>
        <w:rPr>
          <w:szCs w:val="20"/>
        </w:rPr>
      </w:pPr>
    </w:p>
    <w:p w14:paraId="2DE06F5F" w14:textId="77777777" w:rsidR="007549A9" w:rsidRDefault="007549A9" w:rsidP="003642A0">
      <w:pPr>
        <w:spacing w:after="0"/>
        <w:ind w:firstLine="0"/>
        <w:rPr>
          <w:szCs w:val="20"/>
        </w:rPr>
      </w:pPr>
    </w:p>
    <w:p w14:paraId="294E4397" w14:textId="77777777" w:rsidR="007549A9" w:rsidRDefault="007549A9" w:rsidP="003642A0">
      <w:pPr>
        <w:spacing w:after="0"/>
        <w:ind w:firstLine="0"/>
        <w:rPr>
          <w:szCs w:val="20"/>
        </w:rPr>
      </w:pPr>
    </w:p>
    <w:p w14:paraId="26BB7D78" w14:textId="77777777" w:rsidR="00BF1526" w:rsidRDefault="00BF1526" w:rsidP="003642A0">
      <w:pPr>
        <w:spacing w:after="0"/>
        <w:ind w:firstLine="0"/>
        <w:rPr>
          <w:szCs w:val="20"/>
        </w:rPr>
      </w:pPr>
    </w:p>
    <w:p w14:paraId="01C91F7E" w14:textId="77777777" w:rsidR="00BF1526" w:rsidRPr="003642A0" w:rsidRDefault="00BF1526" w:rsidP="003642A0">
      <w:pPr>
        <w:spacing w:after="0"/>
        <w:ind w:firstLine="0"/>
        <w:rPr>
          <w:szCs w:val="20"/>
        </w:rPr>
      </w:pPr>
    </w:p>
    <w:p w14:paraId="1BC9CF69" w14:textId="77777777" w:rsidR="00562D14" w:rsidRPr="006C7AAB" w:rsidRDefault="00562D14" w:rsidP="006C7AAB">
      <w:pPr>
        <w:spacing w:after="0" w:line="240" w:lineRule="auto"/>
        <w:ind w:firstLine="0"/>
        <w:jc w:val="right"/>
        <w:rPr>
          <w:b/>
          <w:color w:val="92D050"/>
          <w:szCs w:val="20"/>
        </w:rPr>
      </w:pPr>
      <w:r w:rsidRPr="006C7AAB">
        <w:rPr>
          <w:b/>
          <w:color w:val="92D050"/>
          <w:szCs w:val="20"/>
        </w:rPr>
        <w:t>Más información</w:t>
      </w:r>
      <w:r w:rsidR="009C39C1" w:rsidRPr="006C7AAB">
        <w:rPr>
          <w:b/>
          <w:color w:val="92D050"/>
          <w:szCs w:val="20"/>
        </w:rPr>
        <w:t>:</w:t>
      </w:r>
    </w:p>
    <w:p w14:paraId="2826B030" w14:textId="77777777" w:rsidR="009C39C1" w:rsidRPr="006C7AAB" w:rsidRDefault="009C39C1" w:rsidP="006C7AAB">
      <w:pPr>
        <w:spacing w:after="0" w:line="240" w:lineRule="auto"/>
        <w:ind w:firstLine="0"/>
        <w:jc w:val="right"/>
        <w:rPr>
          <w:b/>
          <w:color w:val="92D050"/>
          <w:szCs w:val="20"/>
        </w:rPr>
      </w:pPr>
    </w:p>
    <w:p w14:paraId="6F41DF07" w14:textId="77777777" w:rsidR="009C39C1" w:rsidRPr="006C7AAB" w:rsidRDefault="009C39C1" w:rsidP="006C7AAB">
      <w:pPr>
        <w:spacing w:after="0" w:line="240" w:lineRule="auto"/>
        <w:ind w:firstLine="0"/>
        <w:jc w:val="right"/>
        <w:rPr>
          <w:b/>
          <w:color w:val="92D050"/>
          <w:szCs w:val="20"/>
        </w:rPr>
      </w:pPr>
      <w:r w:rsidRPr="006C7AAB">
        <w:rPr>
          <w:noProof/>
          <w:szCs w:val="20"/>
          <w:lang w:eastAsia="es-ES"/>
        </w:rPr>
        <w:drawing>
          <wp:anchor distT="0" distB="0" distL="114300" distR="114300" simplePos="0" relativeHeight="251658241" behindDoc="0" locked="0" layoutInCell="1" allowOverlap="1" wp14:anchorId="46106B76" wp14:editId="7EF765C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098550" cy="450850"/>
            <wp:effectExtent l="0" t="0" r="6350" b="6350"/>
            <wp:wrapThrough wrapText="bothSides">
              <wp:wrapPolygon edited="0">
                <wp:start x="13859" y="0"/>
                <wp:lineTo x="0" y="7301"/>
                <wp:lineTo x="0" y="15515"/>
                <wp:lineTo x="12735" y="20992"/>
                <wp:lineTo x="13859" y="20992"/>
                <wp:lineTo x="18728" y="20992"/>
                <wp:lineTo x="21350" y="17341"/>
                <wp:lineTo x="21350" y="2738"/>
                <wp:lineTo x="19103" y="0"/>
                <wp:lineTo x="13859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ii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5F538" w14:textId="77777777" w:rsidR="009C39C1" w:rsidRPr="006C7AAB" w:rsidRDefault="009C39C1" w:rsidP="006C7AAB">
      <w:pPr>
        <w:spacing w:after="0" w:line="240" w:lineRule="auto"/>
        <w:ind w:firstLine="0"/>
        <w:jc w:val="right"/>
        <w:rPr>
          <w:b/>
          <w:color w:val="92D050"/>
          <w:szCs w:val="20"/>
        </w:rPr>
      </w:pPr>
    </w:p>
    <w:p w14:paraId="5E6D51EA" w14:textId="77777777" w:rsidR="009C39C1" w:rsidRPr="006C7AAB" w:rsidRDefault="009C39C1" w:rsidP="006C7AAB">
      <w:pPr>
        <w:spacing w:after="0" w:line="240" w:lineRule="auto"/>
        <w:ind w:firstLine="0"/>
        <w:jc w:val="right"/>
        <w:rPr>
          <w:b/>
          <w:color w:val="92D050"/>
          <w:szCs w:val="20"/>
        </w:rPr>
      </w:pPr>
    </w:p>
    <w:p w14:paraId="22EC5F6B" w14:textId="77777777" w:rsidR="00562D14" w:rsidRPr="006C7AAB" w:rsidRDefault="00562D14" w:rsidP="006C7AAB">
      <w:pPr>
        <w:spacing w:after="0" w:line="240" w:lineRule="auto"/>
        <w:ind w:firstLine="0"/>
        <w:jc w:val="right"/>
        <w:rPr>
          <w:color w:val="92D050"/>
          <w:szCs w:val="20"/>
        </w:rPr>
      </w:pPr>
      <w:r w:rsidRPr="006C7AAB">
        <w:rPr>
          <w:color w:val="92D050"/>
          <w:szCs w:val="20"/>
        </w:rPr>
        <w:t>Departamento de Innovación de Extremadura Avante</w:t>
      </w:r>
    </w:p>
    <w:p w14:paraId="61154471" w14:textId="77777777" w:rsidR="00562D14" w:rsidRPr="006C7AAB" w:rsidRDefault="00562D14" w:rsidP="006C7AAB">
      <w:pPr>
        <w:spacing w:after="0" w:line="240" w:lineRule="auto"/>
        <w:ind w:firstLine="0"/>
        <w:jc w:val="right"/>
        <w:rPr>
          <w:color w:val="92D050"/>
          <w:szCs w:val="20"/>
        </w:rPr>
      </w:pPr>
      <w:r w:rsidRPr="006C7AAB">
        <w:rPr>
          <w:color w:val="92D050"/>
          <w:szCs w:val="20"/>
        </w:rPr>
        <w:t>Plan de Financiación a la I+D+i</w:t>
      </w:r>
    </w:p>
    <w:p w14:paraId="07EF8237" w14:textId="77777777" w:rsidR="00562D14" w:rsidRPr="006C7AAB" w:rsidRDefault="00562D14" w:rsidP="006C7AAB">
      <w:pPr>
        <w:spacing w:after="0" w:line="240" w:lineRule="auto"/>
        <w:ind w:firstLine="0"/>
        <w:jc w:val="right"/>
        <w:rPr>
          <w:rStyle w:val="Hipervnculo"/>
          <w:color w:val="92D050"/>
          <w:szCs w:val="20"/>
        </w:rPr>
      </w:pPr>
      <w:r w:rsidRPr="006C7AAB">
        <w:rPr>
          <w:b/>
          <w:color w:val="92D050"/>
          <w:szCs w:val="20"/>
        </w:rPr>
        <w:t>900 70 9000</w:t>
      </w:r>
      <w:r w:rsidRPr="006C7AAB">
        <w:rPr>
          <w:b/>
          <w:color w:val="92D050"/>
          <w:szCs w:val="20"/>
        </w:rPr>
        <w:br/>
      </w:r>
      <w:hyperlink r:id="rId19" w:history="1">
        <w:r w:rsidRPr="006C7AAB">
          <w:rPr>
            <w:rStyle w:val="Hipervnculo"/>
            <w:color w:val="92D050"/>
            <w:szCs w:val="20"/>
          </w:rPr>
          <w:t>financiacionidi@extremaduraavante.es</w:t>
        </w:r>
      </w:hyperlink>
    </w:p>
    <w:p w14:paraId="0A631F52" w14:textId="43A81824" w:rsidR="00354757" w:rsidRPr="006C7AAB" w:rsidRDefault="00C82C09" w:rsidP="006C7AAB">
      <w:pPr>
        <w:spacing w:after="0" w:line="240" w:lineRule="auto"/>
        <w:ind w:firstLine="0"/>
        <w:jc w:val="right"/>
        <w:rPr>
          <w:color w:val="92D050"/>
          <w:szCs w:val="20"/>
        </w:rPr>
      </w:pPr>
      <w:r>
        <w:rPr>
          <w:noProof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079FC9" wp14:editId="1E01BC78">
                <wp:simplePos x="0" y="0"/>
                <wp:positionH relativeFrom="margin">
                  <wp:posOffset>-111125</wp:posOffset>
                </wp:positionH>
                <wp:positionV relativeFrom="paragraph">
                  <wp:posOffset>2406650</wp:posOffset>
                </wp:positionV>
                <wp:extent cx="5937250" cy="596900"/>
                <wp:effectExtent l="0" t="0" r="0" b="0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B4811" w14:textId="77777777" w:rsidR="003C16FA" w:rsidRPr="009C39C1" w:rsidRDefault="003C16FA" w:rsidP="00354757">
                            <w:pPr>
                              <w:pStyle w:val="Sinespaciado"/>
                              <w:snapToGrid w:val="0"/>
                              <w:jc w:val="both"/>
                              <w:rPr>
                                <w:i/>
                                <w:sz w:val="10"/>
                                <w:szCs w:val="14"/>
                              </w:rPr>
                            </w:pPr>
                            <w:r w:rsidRPr="009C39C1">
                              <w:rPr>
                                <w:i/>
                                <w:sz w:val="10"/>
                                <w:szCs w:val="14"/>
                              </w:rPr>
                              <w:t>Extremadura Avante Servicios Avanzados a Pymes S.L.U. no se responsabiliza de las decisiones que se puedan adoptar tomando como referencia la información suministrada en este documento, ni de los daños y perjuicios producidos en el usuario o terceros con motivo de actuaciones que tengan como único fundamento la información que del mismo se pueda obtener. Las referencias a disposiciones normativas, legislativas y demás documentos e informaciones contenidos en éste, tienen carácter meramente informativo, realizándose una remisión en bloque a la disposiciones, normas y demás documentación a la que se hace referencia y que en el mismo se contiene, sin que, la puesta a disposición de la información suministrada genere más obligaciones para Extremadura Avante Servicios Avanzados a Pymes S.L.U., que las que se derivan del carácter meramente informativo.</w:t>
                            </w:r>
                          </w:p>
                          <w:p w14:paraId="74386194" w14:textId="77777777" w:rsidR="003C16FA" w:rsidRPr="009C39C1" w:rsidRDefault="003C16FA" w:rsidP="00D07AC6">
                            <w:pPr>
                              <w:pStyle w:val="Sinespaciado"/>
                              <w:snapToGrid w:val="0"/>
                              <w:jc w:val="both"/>
                              <w:rPr>
                                <w:i/>
                                <w:sz w:val="10"/>
                                <w:szCs w:val="14"/>
                              </w:rPr>
                            </w:pPr>
                          </w:p>
                          <w:p w14:paraId="32046DD1" w14:textId="77777777" w:rsidR="003C16FA" w:rsidRPr="009C39C1" w:rsidRDefault="003C16FA" w:rsidP="00D07AC6">
                            <w:pPr>
                              <w:pStyle w:val="Sinespaciado"/>
                              <w:snapToGrid w:val="0"/>
                              <w:jc w:val="both"/>
                              <w:rPr>
                                <w:i/>
                                <w:sz w:val="10"/>
                                <w:szCs w:val="14"/>
                              </w:rPr>
                            </w:pPr>
                            <w:r w:rsidRPr="009C39C1">
                              <w:rPr>
                                <w:i/>
                                <w:sz w:val="10"/>
                                <w:szCs w:val="14"/>
                              </w:rPr>
                              <w:t>Este programa está cofinanciado al 80% con fondos FEDER: Programa Operativo de Extremadura 2014 – 2020. OT1. Potenciar la investigación, el desarrollo tecnológico y la innovación. OE.1.2.1. Impulso y promoción de actividades de I+i lideradas por las empresas y apoyo a la creación y consolidación de empresas innovadoras y apoyo a la compra pública innovadora.</w:t>
                            </w:r>
                          </w:p>
                          <w:p w14:paraId="6EF5B8EC" w14:textId="77777777" w:rsidR="003C16FA" w:rsidRPr="00AD2513" w:rsidRDefault="003C16FA" w:rsidP="00354757">
                            <w:pPr>
                              <w:rPr>
                                <w:i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79F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5pt;margin-top:189.5pt;width:467.5pt;height:4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" filled="f" stroked="f">
                <v:textbox inset="0,0,0,0">
                  <w:txbxContent>
                    <w:p w14:paraId="03EB4811" w14:textId="77777777" w:rsidR="003C16FA" w:rsidRPr="009C39C1" w:rsidRDefault="003C16FA" w:rsidP="00354757">
                      <w:pPr>
                        <w:pStyle w:val="Sinespaciado"/>
                        <w:snapToGrid w:val="0"/>
                        <w:jc w:val="both"/>
                        <w:rPr>
                          <w:i/>
                          <w:sz w:val="10"/>
                          <w:szCs w:val="14"/>
                        </w:rPr>
                      </w:pPr>
                      <w:r w:rsidRPr="009C39C1">
                        <w:rPr>
                          <w:i/>
                          <w:sz w:val="10"/>
                          <w:szCs w:val="14"/>
                        </w:rPr>
                        <w:t>Extremadura Avante Servicios Avanzados a Pymes S.L.U. no se responsabiliza de las decisiones que se puedan adoptar tomando como referencia la información suministrada en este documento, ni de los daños y perjuicios producidos en el usuario o terceros con motivo de actuaciones que tengan como único fundamento la información que del mismo se pueda obtener. Las referencias a disposiciones normativas, legislativas y demás documentos e informaciones contenidos en éste, tienen carácter meramente informativo, realizándose una remisión en bloque a la disposiciones, normas y demás documentación a la que se hace referencia y que en el mismo se contiene, sin que, la puesta a disposición de la información suministrada genere más obligaciones para Extremadura Avante Servicios Avanzados a Pymes S.L.U., que las que se derivan del carácter meramente informativo.</w:t>
                      </w:r>
                    </w:p>
                    <w:p w14:paraId="74386194" w14:textId="77777777" w:rsidR="003C16FA" w:rsidRPr="009C39C1" w:rsidRDefault="003C16FA" w:rsidP="00D07AC6">
                      <w:pPr>
                        <w:pStyle w:val="Sinespaciado"/>
                        <w:snapToGrid w:val="0"/>
                        <w:jc w:val="both"/>
                        <w:rPr>
                          <w:i/>
                          <w:sz w:val="10"/>
                          <w:szCs w:val="14"/>
                        </w:rPr>
                      </w:pPr>
                    </w:p>
                    <w:p w14:paraId="32046DD1" w14:textId="77777777" w:rsidR="003C16FA" w:rsidRPr="009C39C1" w:rsidRDefault="003C16FA" w:rsidP="00D07AC6">
                      <w:pPr>
                        <w:pStyle w:val="Sinespaciado"/>
                        <w:snapToGrid w:val="0"/>
                        <w:jc w:val="both"/>
                        <w:rPr>
                          <w:i/>
                          <w:sz w:val="10"/>
                          <w:szCs w:val="14"/>
                        </w:rPr>
                      </w:pPr>
                      <w:r w:rsidRPr="009C39C1">
                        <w:rPr>
                          <w:i/>
                          <w:sz w:val="10"/>
                          <w:szCs w:val="14"/>
                        </w:rPr>
                        <w:t>Este programa está cofinanciado al 80% con fondos FEDER: Programa Operativo de Extremadura 2014 – 2020. OT1. Potenciar la investigación, el desarrollo tecnológico y la innovación. OE.1.2.1. Impulso y promoción de actividades de I+i lideradas por las empresas y apoyo a la creación y consolidación de empresas innovadoras y apoyo a la compra pública innovadora.</w:t>
                      </w:r>
                    </w:p>
                    <w:p w14:paraId="6EF5B8EC" w14:textId="77777777" w:rsidR="003C16FA" w:rsidRPr="00AD2513" w:rsidRDefault="003C16FA" w:rsidP="00354757">
                      <w:pPr>
                        <w:rPr>
                          <w:i/>
                          <w:sz w:val="12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757" w:rsidRPr="006C7AAB">
        <w:rPr>
          <w:rStyle w:val="Hipervnculo"/>
          <w:color w:val="92D050"/>
          <w:szCs w:val="20"/>
        </w:rPr>
        <w:t>www.extremaduraavante.es/innovacion</w:t>
      </w:r>
    </w:p>
    <w:sectPr w:rsidR="00354757" w:rsidRPr="006C7AAB" w:rsidSect="00D30F23">
      <w:headerReference w:type="default" r:id="rId20"/>
      <w:footerReference w:type="default" r:id="rId21"/>
      <w:type w:val="continuous"/>
      <w:pgSz w:w="11906" w:h="16838"/>
      <w:pgMar w:top="1985" w:right="1133" w:bottom="1418" w:left="1418" w:header="851" w:footer="10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DECF" w14:textId="77777777" w:rsidR="00653A0C" w:rsidRDefault="00653A0C" w:rsidP="00360CF5">
      <w:pPr>
        <w:spacing w:after="0"/>
      </w:pPr>
      <w:r>
        <w:separator/>
      </w:r>
    </w:p>
  </w:endnote>
  <w:endnote w:type="continuationSeparator" w:id="0">
    <w:p w14:paraId="4FEF803D" w14:textId="77777777" w:rsidR="00653A0C" w:rsidRDefault="00653A0C" w:rsidP="00360CF5">
      <w:pPr>
        <w:spacing w:after="0"/>
      </w:pPr>
      <w:r>
        <w:continuationSeparator/>
      </w:r>
    </w:p>
  </w:endnote>
  <w:endnote w:type="continuationNotice" w:id="1">
    <w:p w14:paraId="4932C437" w14:textId="77777777" w:rsidR="00653A0C" w:rsidRDefault="00653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Blacklight">
    <w:altName w:val="Calibri"/>
    <w:charset w:val="00"/>
    <w:family w:val="auto"/>
    <w:pitch w:val="variable"/>
    <w:sig w:usb0="8000002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Rounded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3ADF" w14:textId="77777777" w:rsidR="001403AE" w:rsidRDefault="00C82618">
    <w:pPr>
      <w:pStyle w:val="Piedepgina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0A5F12" wp14:editId="14EE281B">
          <wp:simplePos x="0" y="0"/>
          <wp:positionH relativeFrom="column">
            <wp:posOffset>1290320</wp:posOffset>
          </wp:positionH>
          <wp:positionV relativeFrom="paragraph">
            <wp:posOffset>156845</wp:posOffset>
          </wp:positionV>
          <wp:extent cx="1981200" cy="571500"/>
          <wp:effectExtent l="1905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onsjeria201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16FA"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0F85633C" wp14:editId="0B3CBCF5">
          <wp:simplePos x="0" y="0"/>
          <wp:positionH relativeFrom="margin">
            <wp:posOffset>5330190</wp:posOffset>
          </wp:positionH>
          <wp:positionV relativeFrom="paragraph">
            <wp:posOffset>159385</wp:posOffset>
          </wp:positionV>
          <wp:extent cx="586740" cy="475615"/>
          <wp:effectExtent l="0" t="0" r="0" b="0"/>
          <wp:wrapSquare wrapText="bothSides"/>
          <wp:docPr id="8" name="Imagen 1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6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16FA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3429B369" wp14:editId="3ED483A8">
          <wp:simplePos x="0" y="0"/>
          <wp:positionH relativeFrom="column">
            <wp:posOffset>3857625</wp:posOffset>
          </wp:positionH>
          <wp:positionV relativeFrom="paragraph">
            <wp:posOffset>167640</wp:posOffset>
          </wp:positionV>
          <wp:extent cx="960120" cy="411480"/>
          <wp:effectExtent l="0" t="0" r="0" b="0"/>
          <wp:wrapSquare wrapText="bothSides"/>
          <wp:docPr id="9" name="Imagen 1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5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16FA"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79CBACED" wp14:editId="15B60BB1">
          <wp:simplePos x="0" y="0"/>
          <wp:positionH relativeFrom="margin">
            <wp:posOffset>-635</wp:posOffset>
          </wp:positionH>
          <wp:positionV relativeFrom="paragraph">
            <wp:posOffset>167640</wp:posOffset>
          </wp:positionV>
          <wp:extent cx="1021080" cy="400685"/>
          <wp:effectExtent l="0" t="0" r="0" b="0"/>
          <wp:wrapSquare wrapText="bothSides"/>
          <wp:docPr id="10" name="Imagen 1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5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03AE">
      <w:rPr>
        <w:noProof/>
        <w:lang w:eastAsia="es-ES"/>
      </w:rPr>
      <w:t xml:space="preserve">                                                     </w:t>
    </w:r>
  </w:p>
  <w:p w14:paraId="41D5228D" w14:textId="77777777" w:rsidR="001403AE" w:rsidRDefault="001403AE">
    <w:pPr>
      <w:pStyle w:val="Piedepgina"/>
      <w:rPr>
        <w:noProof/>
        <w:lang w:eastAsia="es-ES"/>
      </w:rPr>
    </w:pPr>
    <w:r>
      <w:rPr>
        <w:noProof/>
        <w:lang w:eastAsia="es-ES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66C5" w14:textId="77777777" w:rsidR="00653A0C" w:rsidRDefault="00653A0C" w:rsidP="00360CF5">
      <w:pPr>
        <w:spacing w:after="0"/>
      </w:pPr>
      <w:r>
        <w:separator/>
      </w:r>
    </w:p>
  </w:footnote>
  <w:footnote w:type="continuationSeparator" w:id="0">
    <w:p w14:paraId="1083DA10" w14:textId="77777777" w:rsidR="00653A0C" w:rsidRDefault="00653A0C" w:rsidP="00360CF5">
      <w:pPr>
        <w:spacing w:after="0"/>
      </w:pPr>
      <w:r>
        <w:continuationSeparator/>
      </w:r>
    </w:p>
  </w:footnote>
  <w:footnote w:type="continuationNotice" w:id="1">
    <w:p w14:paraId="243D967C" w14:textId="77777777" w:rsidR="00653A0C" w:rsidRDefault="00653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4308" w:tblpY="-1623"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006"/>
      <w:gridCol w:w="645"/>
      <w:gridCol w:w="741"/>
    </w:tblGrid>
    <w:tr w:rsidR="003C16FA" w:rsidRPr="00D36682" w14:paraId="414B0CE0" w14:textId="77777777" w:rsidTr="00964EB3">
      <w:tc>
        <w:tcPr>
          <w:tcW w:w="641" w:type="dxa"/>
        </w:tcPr>
        <w:p w14:paraId="147F1D36" w14:textId="56DB3CE1" w:rsidR="003C16FA" w:rsidRPr="00964EB3" w:rsidRDefault="00C82C09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ACD9054" wp14:editId="75263C11">
                    <wp:simplePos x="0" y="0"/>
                    <wp:positionH relativeFrom="page">
                      <wp:posOffset>-4037965</wp:posOffset>
                    </wp:positionH>
                    <wp:positionV relativeFrom="page">
                      <wp:posOffset>74295</wp:posOffset>
                    </wp:positionV>
                    <wp:extent cx="3676650" cy="766445"/>
                    <wp:effectExtent l="0" t="0" r="0" b="0"/>
                    <wp:wrapThrough wrapText="bothSides">
                      <wp:wrapPolygon edited="0">
                        <wp:start x="224" y="0"/>
                        <wp:lineTo x="224" y="20938"/>
                        <wp:lineTo x="21264" y="20938"/>
                        <wp:lineTo x="21264" y="0"/>
                        <wp:lineTo x="224" y="0"/>
                      </wp:wrapPolygon>
                    </wp:wrapThrough>
                    <wp:docPr id="35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6650" cy="76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25B364" w14:textId="77777777" w:rsidR="003C16FA" w:rsidRDefault="003C16FA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b/>
                                    <w:color w:val="D9D9D9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C5FE290" w14:textId="77777777" w:rsidR="003C16FA" w:rsidRPr="0027507D" w:rsidRDefault="003C16FA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 xml:space="preserve">                </w:t>
                                </w:r>
                                <w:r w:rsidRPr="0027507D"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>900 70</w:t>
                                </w:r>
                                <w:r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 xml:space="preserve"> 9</w:t>
                                </w:r>
                                <w:r w:rsidRPr="0027507D"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>000</w:t>
                                </w:r>
                              </w:p>
                              <w:p w14:paraId="658382FB" w14:textId="77777777" w:rsidR="003C16FA" w:rsidRPr="00CE3C5F" w:rsidRDefault="003C16FA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color w:val="D9D9D9"/>
                                    <w:sz w:val="20"/>
                                    <w:szCs w:val="20"/>
                                  </w:rPr>
                                </w:pPr>
                                <w:r w:rsidRPr="00CE3C5F">
                                  <w:rPr>
                                    <w:rFonts w:ascii="Helvetica Rounded" w:hAnsi="Helvetica Rounded"/>
                                    <w:b/>
                                    <w:color w:val="D9D9D9"/>
                                    <w:sz w:val="20"/>
                                    <w:szCs w:val="20"/>
                                  </w:rPr>
                                  <w:t>financiacionidi@extremaduraavante.es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CD90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317.95pt;margin-top:5.85pt;width:289.5pt;height:6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" filled="f" stroked="f">
                    <v:textbox>
                      <w:txbxContent>
                        <w:p w14:paraId="5725B364" w14:textId="77777777" w:rsidR="003C16FA" w:rsidRDefault="003C16FA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b/>
                              <w:color w:val="D9D9D9"/>
                              <w:sz w:val="20"/>
                              <w:szCs w:val="20"/>
                            </w:rPr>
                          </w:pPr>
                        </w:p>
                        <w:p w14:paraId="5C5FE290" w14:textId="77777777" w:rsidR="003C16FA" w:rsidRPr="0027507D" w:rsidRDefault="003C16FA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Pr="0027507D"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>900 70</w:t>
                          </w:r>
                          <w:r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 xml:space="preserve"> 9</w:t>
                          </w:r>
                          <w:r w:rsidRPr="0027507D"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>000</w:t>
                          </w:r>
                        </w:p>
                        <w:p w14:paraId="658382FB" w14:textId="77777777" w:rsidR="003C16FA" w:rsidRPr="00CE3C5F" w:rsidRDefault="003C16FA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color w:val="D9D9D9"/>
                              <w:sz w:val="20"/>
                              <w:szCs w:val="20"/>
                            </w:rPr>
                          </w:pPr>
                          <w:r w:rsidRPr="00CE3C5F">
                            <w:rPr>
                              <w:rFonts w:ascii="Helvetica Rounded" w:hAnsi="Helvetica Rounded"/>
                              <w:b/>
                              <w:color w:val="D9D9D9"/>
                              <w:sz w:val="20"/>
                              <w:szCs w:val="20"/>
                            </w:rPr>
                            <w:t>financiacionidi@extremaduraavante.es</w:t>
                          </w:r>
                        </w:p>
                      </w:txbxContent>
                    </v:textbox>
                    <w10:wrap type="through" anchorx="page" anchory="page"/>
                  </v:shape>
                </w:pict>
              </mc:Fallback>
            </mc:AlternateContent>
          </w:r>
          <w:r w:rsidR="003C16FA"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5B26B51D" wp14:editId="76FF0820">
                <wp:extent cx="247650" cy="247650"/>
                <wp:effectExtent l="0" t="0" r="0" b="0"/>
                <wp:docPr id="1" name="Imagen 1" descr="twit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wit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" w:type="dxa"/>
        </w:tcPr>
        <w:p w14:paraId="6B90560A" w14:textId="77777777" w:rsidR="003C16FA" w:rsidRPr="00964EB3" w:rsidRDefault="003C16FA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30E7B7BA" wp14:editId="4480170A">
                <wp:extent cx="247650" cy="247650"/>
                <wp:effectExtent l="0" t="0" r="0" b="0"/>
                <wp:docPr id="4" name="Imagen 2" descr="faceboo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acebook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" w:type="dxa"/>
        </w:tcPr>
        <w:p w14:paraId="1B41AB08" w14:textId="77777777" w:rsidR="003C16FA" w:rsidRPr="00964EB3" w:rsidRDefault="003C16FA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0100A484" wp14:editId="10B4132E">
                <wp:extent cx="247650" cy="247650"/>
                <wp:effectExtent l="0" t="0" r="0" b="0"/>
                <wp:docPr id="5" name="Imagen 3" descr="linkedin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inkedin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39C556" w14:textId="77777777" w:rsidR="003C16FA" w:rsidRDefault="003C16F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7507A2A" wp14:editId="156B9A47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56500" cy="1130042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abecera reducid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30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facebook icon" style="width:96pt;height:96pt;visibility:visible" o:bullet="t">
        <v:imagedata r:id="rId1" o:title="facebook icon"/>
      </v:shape>
    </w:pict>
  </w:numPicBullet>
  <w:abstractNum w:abstractNumId="0" w15:restartNumberingAfterBreak="0">
    <w:nsid w:val="079E5FFC"/>
    <w:multiLevelType w:val="hybridMultilevel"/>
    <w:tmpl w:val="D88E6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0F02"/>
    <w:multiLevelType w:val="multilevel"/>
    <w:tmpl w:val="FB6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99A1C"/>
    <w:multiLevelType w:val="hybridMultilevel"/>
    <w:tmpl w:val="73440D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2D496C"/>
    <w:multiLevelType w:val="hybridMultilevel"/>
    <w:tmpl w:val="EFC887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FF9"/>
    <w:multiLevelType w:val="hybridMultilevel"/>
    <w:tmpl w:val="C8D4ECAC"/>
    <w:lvl w:ilvl="0" w:tplc="2D986854">
      <w:numFmt w:val="bullet"/>
      <w:lvlText w:val=""/>
      <w:lvlJc w:val="left"/>
      <w:pPr>
        <w:ind w:left="1427" w:hanging="292"/>
      </w:pPr>
      <w:rPr>
        <w:rFonts w:ascii="Wingdings" w:eastAsia="Wingdings" w:hAnsi="Wingdings" w:cs="Wingdings" w:hint="default"/>
        <w:w w:val="103"/>
        <w:sz w:val="19"/>
        <w:szCs w:val="19"/>
      </w:rPr>
    </w:lvl>
    <w:lvl w:ilvl="1" w:tplc="E91C7074">
      <w:numFmt w:val="bullet"/>
      <w:lvlText w:val="•"/>
      <w:lvlJc w:val="left"/>
      <w:pPr>
        <w:ind w:left="2422" w:hanging="292"/>
      </w:pPr>
      <w:rPr>
        <w:rFonts w:hint="default"/>
      </w:rPr>
    </w:lvl>
    <w:lvl w:ilvl="2" w:tplc="B1220DFE">
      <w:numFmt w:val="bullet"/>
      <w:lvlText w:val="•"/>
      <w:lvlJc w:val="left"/>
      <w:pPr>
        <w:ind w:left="3344" w:hanging="292"/>
      </w:pPr>
      <w:rPr>
        <w:rFonts w:hint="default"/>
      </w:rPr>
    </w:lvl>
    <w:lvl w:ilvl="3" w:tplc="04FC9766">
      <w:numFmt w:val="bullet"/>
      <w:lvlText w:val="•"/>
      <w:lvlJc w:val="left"/>
      <w:pPr>
        <w:ind w:left="4266" w:hanging="292"/>
      </w:pPr>
      <w:rPr>
        <w:rFonts w:hint="default"/>
      </w:rPr>
    </w:lvl>
    <w:lvl w:ilvl="4" w:tplc="C63EC20A">
      <w:numFmt w:val="bullet"/>
      <w:lvlText w:val="•"/>
      <w:lvlJc w:val="left"/>
      <w:pPr>
        <w:ind w:left="5188" w:hanging="292"/>
      </w:pPr>
      <w:rPr>
        <w:rFonts w:hint="default"/>
      </w:rPr>
    </w:lvl>
    <w:lvl w:ilvl="5" w:tplc="9D843C16">
      <w:numFmt w:val="bullet"/>
      <w:lvlText w:val="•"/>
      <w:lvlJc w:val="left"/>
      <w:pPr>
        <w:ind w:left="6110" w:hanging="292"/>
      </w:pPr>
      <w:rPr>
        <w:rFonts w:hint="default"/>
      </w:rPr>
    </w:lvl>
    <w:lvl w:ilvl="6" w:tplc="699CF084">
      <w:numFmt w:val="bullet"/>
      <w:lvlText w:val="•"/>
      <w:lvlJc w:val="left"/>
      <w:pPr>
        <w:ind w:left="7032" w:hanging="292"/>
      </w:pPr>
      <w:rPr>
        <w:rFonts w:hint="default"/>
      </w:rPr>
    </w:lvl>
    <w:lvl w:ilvl="7" w:tplc="BBA68A5E">
      <w:numFmt w:val="bullet"/>
      <w:lvlText w:val="•"/>
      <w:lvlJc w:val="left"/>
      <w:pPr>
        <w:ind w:left="7954" w:hanging="292"/>
      </w:pPr>
      <w:rPr>
        <w:rFonts w:hint="default"/>
      </w:rPr>
    </w:lvl>
    <w:lvl w:ilvl="8" w:tplc="AC40BCB6">
      <w:numFmt w:val="bullet"/>
      <w:lvlText w:val="•"/>
      <w:lvlJc w:val="left"/>
      <w:pPr>
        <w:ind w:left="8876" w:hanging="292"/>
      </w:pPr>
      <w:rPr>
        <w:rFonts w:hint="default"/>
      </w:rPr>
    </w:lvl>
  </w:abstractNum>
  <w:abstractNum w:abstractNumId="5" w15:restartNumberingAfterBreak="0">
    <w:nsid w:val="2E577668"/>
    <w:multiLevelType w:val="hybridMultilevel"/>
    <w:tmpl w:val="11C4D836"/>
    <w:lvl w:ilvl="0" w:tplc="919ECD0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7F56"/>
    <w:multiLevelType w:val="hybridMultilevel"/>
    <w:tmpl w:val="C936C8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57685"/>
    <w:multiLevelType w:val="hybridMultilevel"/>
    <w:tmpl w:val="4C4C8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0ECC"/>
    <w:multiLevelType w:val="hybridMultilevel"/>
    <w:tmpl w:val="B44E8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33A6"/>
    <w:multiLevelType w:val="hybridMultilevel"/>
    <w:tmpl w:val="C0BA37EE"/>
    <w:lvl w:ilvl="0" w:tplc="0FE2C7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04040" w:themeColor="text1" w:themeTint="BF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6726D2"/>
    <w:multiLevelType w:val="hybridMultilevel"/>
    <w:tmpl w:val="24F655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62C9"/>
    <w:multiLevelType w:val="hybridMultilevel"/>
    <w:tmpl w:val="F858E79E"/>
    <w:lvl w:ilvl="0" w:tplc="45100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0C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CD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A0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E3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48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0B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44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06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5B455E"/>
    <w:multiLevelType w:val="hybridMultilevel"/>
    <w:tmpl w:val="CADE1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311F4"/>
    <w:multiLevelType w:val="hybridMultilevel"/>
    <w:tmpl w:val="D63A2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27F59"/>
    <w:multiLevelType w:val="hybridMultilevel"/>
    <w:tmpl w:val="A5180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2015C"/>
    <w:multiLevelType w:val="hybridMultilevel"/>
    <w:tmpl w:val="B470D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A2F11"/>
    <w:multiLevelType w:val="hybridMultilevel"/>
    <w:tmpl w:val="DCF0A5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304AE"/>
    <w:multiLevelType w:val="hybridMultilevel"/>
    <w:tmpl w:val="A41A19F4"/>
    <w:lvl w:ilvl="0" w:tplc="233E46D4">
      <w:start w:val="1"/>
      <w:numFmt w:val="lowerLetter"/>
      <w:lvlText w:val="%1)"/>
      <w:lvlJc w:val="left"/>
      <w:pPr>
        <w:ind w:left="720" w:hanging="360"/>
      </w:pPr>
      <w:rPr>
        <w:b/>
        <w:color w:val="404040" w:themeColor="text1" w:themeTint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6006A"/>
    <w:multiLevelType w:val="hybridMultilevel"/>
    <w:tmpl w:val="0FB021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E52F7"/>
    <w:multiLevelType w:val="hybridMultilevel"/>
    <w:tmpl w:val="0D95A8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A384012"/>
    <w:multiLevelType w:val="hybridMultilevel"/>
    <w:tmpl w:val="5DEA71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44403"/>
    <w:multiLevelType w:val="hybridMultilevel"/>
    <w:tmpl w:val="F0708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116C6"/>
    <w:multiLevelType w:val="hybridMultilevel"/>
    <w:tmpl w:val="C37E6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41602">
    <w:abstractNumId w:val="10"/>
  </w:num>
  <w:num w:numId="2" w16cid:durableId="1909875510">
    <w:abstractNumId w:val="1"/>
  </w:num>
  <w:num w:numId="3" w16cid:durableId="404491922">
    <w:abstractNumId w:val="11"/>
  </w:num>
  <w:num w:numId="4" w16cid:durableId="16553295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3912808">
    <w:abstractNumId w:val="4"/>
  </w:num>
  <w:num w:numId="6" w16cid:durableId="1104379572">
    <w:abstractNumId w:val="6"/>
  </w:num>
  <w:num w:numId="7" w16cid:durableId="139273583">
    <w:abstractNumId w:val="16"/>
  </w:num>
  <w:num w:numId="8" w16cid:durableId="248002094">
    <w:abstractNumId w:val="5"/>
  </w:num>
  <w:num w:numId="9" w16cid:durableId="676540203">
    <w:abstractNumId w:val="3"/>
  </w:num>
  <w:num w:numId="10" w16cid:durableId="60445898">
    <w:abstractNumId w:val="18"/>
  </w:num>
  <w:num w:numId="11" w16cid:durableId="1749881181">
    <w:abstractNumId w:val="13"/>
  </w:num>
  <w:num w:numId="12" w16cid:durableId="1608656239">
    <w:abstractNumId w:val="17"/>
  </w:num>
  <w:num w:numId="13" w16cid:durableId="1041322438">
    <w:abstractNumId w:val="9"/>
  </w:num>
  <w:num w:numId="14" w16cid:durableId="101609933">
    <w:abstractNumId w:val="7"/>
  </w:num>
  <w:num w:numId="15" w16cid:durableId="1661886995">
    <w:abstractNumId w:val="20"/>
  </w:num>
  <w:num w:numId="16" w16cid:durableId="268197453">
    <w:abstractNumId w:val="0"/>
  </w:num>
  <w:num w:numId="17" w16cid:durableId="155345980">
    <w:abstractNumId w:val="22"/>
  </w:num>
  <w:num w:numId="18" w16cid:durableId="1539003878">
    <w:abstractNumId w:val="21"/>
  </w:num>
  <w:num w:numId="19" w16cid:durableId="1081488620">
    <w:abstractNumId w:val="14"/>
  </w:num>
  <w:num w:numId="20" w16cid:durableId="989671735">
    <w:abstractNumId w:val="19"/>
  </w:num>
  <w:num w:numId="21" w16cid:durableId="1560047375">
    <w:abstractNumId w:val="2"/>
  </w:num>
  <w:num w:numId="22" w16cid:durableId="1410541761">
    <w:abstractNumId w:val="8"/>
  </w:num>
  <w:num w:numId="23" w16cid:durableId="370617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7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C7"/>
    <w:rsid w:val="00005F06"/>
    <w:rsid w:val="00026600"/>
    <w:rsid w:val="0003775B"/>
    <w:rsid w:val="0004563E"/>
    <w:rsid w:val="00046E7A"/>
    <w:rsid w:val="000477EA"/>
    <w:rsid w:val="00071633"/>
    <w:rsid w:val="00082221"/>
    <w:rsid w:val="000935E7"/>
    <w:rsid w:val="000A19DB"/>
    <w:rsid w:val="000A4E08"/>
    <w:rsid w:val="000B2237"/>
    <w:rsid w:val="000B28D4"/>
    <w:rsid w:val="000B2BC3"/>
    <w:rsid w:val="000B4577"/>
    <w:rsid w:val="000B5B32"/>
    <w:rsid w:val="000C4D0B"/>
    <w:rsid w:val="000C4ECE"/>
    <w:rsid w:val="000D2A0E"/>
    <w:rsid w:val="000D332E"/>
    <w:rsid w:val="000D7DEA"/>
    <w:rsid w:val="000F1716"/>
    <w:rsid w:val="00112575"/>
    <w:rsid w:val="00123781"/>
    <w:rsid w:val="0013181F"/>
    <w:rsid w:val="00133BB2"/>
    <w:rsid w:val="001403AE"/>
    <w:rsid w:val="001438BE"/>
    <w:rsid w:val="00160AC0"/>
    <w:rsid w:val="00161F50"/>
    <w:rsid w:val="001709D2"/>
    <w:rsid w:val="00180026"/>
    <w:rsid w:val="0019011C"/>
    <w:rsid w:val="001916AD"/>
    <w:rsid w:val="001951CA"/>
    <w:rsid w:val="001958E9"/>
    <w:rsid w:val="001A0454"/>
    <w:rsid w:val="001A109F"/>
    <w:rsid w:val="001A41A4"/>
    <w:rsid w:val="001A5E88"/>
    <w:rsid w:val="001B49BB"/>
    <w:rsid w:val="001B7F21"/>
    <w:rsid w:val="001C7E8C"/>
    <w:rsid w:val="001D013D"/>
    <w:rsid w:val="001D3075"/>
    <w:rsid w:val="001D366B"/>
    <w:rsid w:val="001E13DA"/>
    <w:rsid w:val="001F0409"/>
    <w:rsid w:val="001F4D2E"/>
    <w:rsid w:val="001F6DB3"/>
    <w:rsid w:val="002002DD"/>
    <w:rsid w:val="002019C4"/>
    <w:rsid w:val="002113DB"/>
    <w:rsid w:val="00213557"/>
    <w:rsid w:val="00233E27"/>
    <w:rsid w:val="00234897"/>
    <w:rsid w:val="00242567"/>
    <w:rsid w:val="00246535"/>
    <w:rsid w:val="00253F14"/>
    <w:rsid w:val="0026795E"/>
    <w:rsid w:val="002745A0"/>
    <w:rsid w:val="0027507D"/>
    <w:rsid w:val="0028114A"/>
    <w:rsid w:val="00282058"/>
    <w:rsid w:val="002965DB"/>
    <w:rsid w:val="002C02FA"/>
    <w:rsid w:val="002C3B56"/>
    <w:rsid w:val="002C6F23"/>
    <w:rsid w:val="002C723D"/>
    <w:rsid w:val="002D002A"/>
    <w:rsid w:val="002D21F5"/>
    <w:rsid w:val="002D27D6"/>
    <w:rsid w:val="002E083D"/>
    <w:rsid w:val="002F4842"/>
    <w:rsid w:val="003015AB"/>
    <w:rsid w:val="00302D27"/>
    <w:rsid w:val="00303B51"/>
    <w:rsid w:val="0030540A"/>
    <w:rsid w:val="00313CC9"/>
    <w:rsid w:val="003165E3"/>
    <w:rsid w:val="00321B4D"/>
    <w:rsid w:val="00322AC5"/>
    <w:rsid w:val="00324C88"/>
    <w:rsid w:val="00326D77"/>
    <w:rsid w:val="003430AB"/>
    <w:rsid w:val="00351198"/>
    <w:rsid w:val="00354757"/>
    <w:rsid w:val="00354EC9"/>
    <w:rsid w:val="003572C2"/>
    <w:rsid w:val="00360CF5"/>
    <w:rsid w:val="00363E73"/>
    <w:rsid w:val="003642A0"/>
    <w:rsid w:val="00367475"/>
    <w:rsid w:val="00370596"/>
    <w:rsid w:val="00371029"/>
    <w:rsid w:val="00371193"/>
    <w:rsid w:val="00371B4F"/>
    <w:rsid w:val="00373F61"/>
    <w:rsid w:val="00374128"/>
    <w:rsid w:val="0037567E"/>
    <w:rsid w:val="00375EEE"/>
    <w:rsid w:val="00382960"/>
    <w:rsid w:val="003A08A7"/>
    <w:rsid w:val="003A1031"/>
    <w:rsid w:val="003B44B8"/>
    <w:rsid w:val="003B513C"/>
    <w:rsid w:val="003B6CF2"/>
    <w:rsid w:val="003B7FFD"/>
    <w:rsid w:val="003C16FA"/>
    <w:rsid w:val="003C2101"/>
    <w:rsid w:val="003C7049"/>
    <w:rsid w:val="003D1A82"/>
    <w:rsid w:val="003E0ED4"/>
    <w:rsid w:val="003E2CD5"/>
    <w:rsid w:val="003E3A6F"/>
    <w:rsid w:val="003E5243"/>
    <w:rsid w:val="003F0C89"/>
    <w:rsid w:val="003F171E"/>
    <w:rsid w:val="0040163E"/>
    <w:rsid w:val="00407A84"/>
    <w:rsid w:val="004106D0"/>
    <w:rsid w:val="00417820"/>
    <w:rsid w:val="00424714"/>
    <w:rsid w:val="00424D99"/>
    <w:rsid w:val="00430855"/>
    <w:rsid w:val="00430DF0"/>
    <w:rsid w:val="004368F1"/>
    <w:rsid w:val="00456A96"/>
    <w:rsid w:val="00461B18"/>
    <w:rsid w:val="004679A0"/>
    <w:rsid w:val="00482A56"/>
    <w:rsid w:val="004A1FB7"/>
    <w:rsid w:val="004B6618"/>
    <w:rsid w:val="004C08D8"/>
    <w:rsid w:val="004C0CF0"/>
    <w:rsid w:val="004D6E6C"/>
    <w:rsid w:val="004E2993"/>
    <w:rsid w:val="004E34F1"/>
    <w:rsid w:val="004E400F"/>
    <w:rsid w:val="004E60A7"/>
    <w:rsid w:val="004F05AA"/>
    <w:rsid w:val="004F069E"/>
    <w:rsid w:val="004F7F0C"/>
    <w:rsid w:val="00501152"/>
    <w:rsid w:val="00503A45"/>
    <w:rsid w:val="005116D6"/>
    <w:rsid w:val="005139CB"/>
    <w:rsid w:val="00513A5A"/>
    <w:rsid w:val="00526F70"/>
    <w:rsid w:val="005307BC"/>
    <w:rsid w:val="00536AD3"/>
    <w:rsid w:val="00541A15"/>
    <w:rsid w:val="00542C82"/>
    <w:rsid w:val="00543700"/>
    <w:rsid w:val="005447BA"/>
    <w:rsid w:val="00562158"/>
    <w:rsid w:val="00562D14"/>
    <w:rsid w:val="00567792"/>
    <w:rsid w:val="00572AD7"/>
    <w:rsid w:val="00580035"/>
    <w:rsid w:val="00584E59"/>
    <w:rsid w:val="0058522A"/>
    <w:rsid w:val="005A3C37"/>
    <w:rsid w:val="005C07E9"/>
    <w:rsid w:val="005C3077"/>
    <w:rsid w:val="005C492D"/>
    <w:rsid w:val="005C585B"/>
    <w:rsid w:val="005D5CAF"/>
    <w:rsid w:val="005E1C91"/>
    <w:rsid w:val="005E1E89"/>
    <w:rsid w:val="005E1EF0"/>
    <w:rsid w:val="005E331B"/>
    <w:rsid w:val="005E4403"/>
    <w:rsid w:val="005F40B5"/>
    <w:rsid w:val="005F5328"/>
    <w:rsid w:val="00602267"/>
    <w:rsid w:val="00604480"/>
    <w:rsid w:val="006164B6"/>
    <w:rsid w:val="006174E7"/>
    <w:rsid w:val="00617B52"/>
    <w:rsid w:val="00634BC5"/>
    <w:rsid w:val="00653A0C"/>
    <w:rsid w:val="00666886"/>
    <w:rsid w:val="00676BBF"/>
    <w:rsid w:val="00681687"/>
    <w:rsid w:val="006821D1"/>
    <w:rsid w:val="006838A1"/>
    <w:rsid w:val="00685B6E"/>
    <w:rsid w:val="00692A65"/>
    <w:rsid w:val="00692E5B"/>
    <w:rsid w:val="006A16B2"/>
    <w:rsid w:val="006B6535"/>
    <w:rsid w:val="006C7AAB"/>
    <w:rsid w:val="006D574A"/>
    <w:rsid w:val="006D657A"/>
    <w:rsid w:val="006D7D3E"/>
    <w:rsid w:val="006F1ECB"/>
    <w:rsid w:val="00704BB3"/>
    <w:rsid w:val="007111AA"/>
    <w:rsid w:val="007118D5"/>
    <w:rsid w:val="00712C87"/>
    <w:rsid w:val="00717C3B"/>
    <w:rsid w:val="00747CE7"/>
    <w:rsid w:val="00750104"/>
    <w:rsid w:val="007517CF"/>
    <w:rsid w:val="007549A9"/>
    <w:rsid w:val="007600A2"/>
    <w:rsid w:val="00761CD2"/>
    <w:rsid w:val="00777D35"/>
    <w:rsid w:val="00786488"/>
    <w:rsid w:val="007950A0"/>
    <w:rsid w:val="00797589"/>
    <w:rsid w:val="007A0B42"/>
    <w:rsid w:val="007B3871"/>
    <w:rsid w:val="007B38D6"/>
    <w:rsid w:val="007C30F5"/>
    <w:rsid w:val="007D5B41"/>
    <w:rsid w:val="007E601A"/>
    <w:rsid w:val="007E7489"/>
    <w:rsid w:val="007F4E3B"/>
    <w:rsid w:val="007F694F"/>
    <w:rsid w:val="00813E85"/>
    <w:rsid w:val="00816F2D"/>
    <w:rsid w:val="00820FC0"/>
    <w:rsid w:val="00824367"/>
    <w:rsid w:val="008271F6"/>
    <w:rsid w:val="00833B0B"/>
    <w:rsid w:val="00837045"/>
    <w:rsid w:val="0084069A"/>
    <w:rsid w:val="0084373D"/>
    <w:rsid w:val="008460B0"/>
    <w:rsid w:val="00846E54"/>
    <w:rsid w:val="008577D5"/>
    <w:rsid w:val="008724FE"/>
    <w:rsid w:val="00883C79"/>
    <w:rsid w:val="00886484"/>
    <w:rsid w:val="0089156A"/>
    <w:rsid w:val="008949F9"/>
    <w:rsid w:val="00897013"/>
    <w:rsid w:val="008A01BE"/>
    <w:rsid w:val="008A3D25"/>
    <w:rsid w:val="008A64AC"/>
    <w:rsid w:val="008B5F20"/>
    <w:rsid w:val="008B72D0"/>
    <w:rsid w:val="008C27BC"/>
    <w:rsid w:val="008C5FEE"/>
    <w:rsid w:val="008C7E30"/>
    <w:rsid w:val="008D6982"/>
    <w:rsid w:val="008E694C"/>
    <w:rsid w:val="008E6CCF"/>
    <w:rsid w:val="008F6335"/>
    <w:rsid w:val="00903B6E"/>
    <w:rsid w:val="00906D7E"/>
    <w:rsid w:val="00911B1C"/>
    <w:rsid w:val="00921C5D"/>
    <w:rsid w:val="0092722E"/>
    <w:rsid w:val="00927F11"/>
    <w:rsid w:val="00933B17"/>
    <w:rsid w:val="009358C1"/>
    <w:rsid w:val="00942746"/>
    <w:rsid w:val="00942E08"/>
    <w:rsid w:val="00944A28"/>
    <w:rsid w:val="0094563C"/>
    <w:rsid w:val="00952293"/>
    <w:rsid w:val="009627EC"/>
    <w:rsid w:val="00964EB3"/>
    <w:rsid w:val="0097067C"/>
    <w:rsid w:val="009736C8"/>
    <w:rsid w:val="0098104A"/>
    <w:rsid w:val="0098111E"/>
    <w:rsid w:val="00981C4C"/>
    <w:rsid w:val="00996901"/>
    <w:rsid w:val="009A009C"/>
    <w:rsid w:val="009A40D9"/>
    <w:rsid w:val="009A47B5"/>
    <w:rsid w:val="009B0334"/>
    <w:rsid w:val="009B7685"/>
    <w:rsid w:val="009C1E07"/>
    <w:rsid w:val="009C39C1"/>
    <w:rsid w:val="009C5967"/>
    <w:rsid w:val="009D1AFF"/>
    <w:rsid w:val="009D2307"/>
    <w:rsid w:val="009D66A2"/>
    <w:rsid w:val="009D694D"/>
    <w:rsid w:val="009E4F71"/>
    <w:rsid w:val="009F0EA8"/>
    <w:rsid w:val="009F6073"/>
    <w:rsid w:val="00A02DF4"/>
    <w:rsid w:val="00A15241"/>
    <w:rsid w:val="00A15C19"/>
    <w:rsid w:val="00A172DE"/>
    <w:rsid w:val="00A25152"/>
    <w:rsid w:val="00A35F1B"/>
    <w:rsid w:val="00A36F4E"/>
    <w:rsid w:val="00A40487"/>
    <w:rsid w:val="00A41048"/>
    <w:rsid w:val="00A4338B"/>
    <w:rsid w:val="00A442AE"/>
    <w:rsid w:val="00A44F04"/>
    <w:rsid w:val="00A47FB4"/>
    <w:rsid w:val="00A552F9"/>
    <w:rsid w:val="00A56BE0"/>
    <w:rsid w:val="00A7012C"/>
    <w:rsid w:val="00A721A4"/>
    <w:rsid w:val="00A72DFC"/>
    <w:rsid w:val="00A7350E"/>
    <w:rsid w:val="00A76520"/>
    <w:rsid w:val="00A94C1D"/>
    <w:rsid w:val="00A97CDE"/>
    <w:rsid w:val="00AA5C8E"/>
    <w:rsid w:val="00AB632C"/>
    <w:rsid w:val="00AC2D75"/>
    <w:rsid w:val="00AD3A3D"/>
    <w:rsid w:val="00AE08FA"/>
    <w:rsid w:val="00AE25FC"/>
    <w:rsid w:val="00AE6931"/>
    <w:rsid w:val="00AF35C2"/>
    <w:rsid w:val="00AF5508"/>
    <w:rsid w:val="00B01CFB"/>
    <w:rsid w:val="00B01E46"/>
    <w:rsid w:val="00B16597"/>
    <w:rsid w:val="00B22212"/>
    <w:rsid w:val="00B229E5"/>
    <w:rsid w:val="00B243C7"/>
    <w:rsid w:val="00B34707"/>
    <w:rsid w:val="00B35F0C"/>
    <w:rsid w:val="00B42EB8"/>
    <w:rsid w:val="00B4712C"/>
    <w:rsid w:val="00B5702D"/>
    <w:rsid w:val="00B676E9"/>
    <w:rsid w:val="00B712DE"/>
    <w:rsid w:val="00B8411F"/>
    <w:rsid w:val="00B850CA"/>
    <w:rsid w:val="00B93C0E"/>
    <w:rsid w:val="00BB54CF"/>
    <w:rsid w:val="00BC1156"/>
    <w:rsid w:val="00BC2E18"/>
    <w:rsid w:val="00BD0389"/>
    <w:rsid w:val="00BF1526"/>
    <w:rsid w:val="00C03460"/>
    <w:rsid w:val="00C05EF6"/>
    <w:rsid w:val="00C100B7"/>
    <w:rsid w:val="00C10ED7"/>
    <w:rsid w:val="00C15F26"/>
    <w:rsid w:val="00C33790"/>
    <w:rsid w:val="00C42A45"/>
    <w:rsid w:val="00C67969"/>
    <w:rsid w:val="00C72579"/>
    <w:rsid w:val="00C81865"/>
    <w:rsid w:val="00C82618"/>
    <w:rsid w:val="00C82C09"/>
    <w:rsid w:val="00C84135"/>
    <w:rsid w:val="00C90102"/>
    <w:rsid w:val="00C916F0"/>
    <w:rsid w:val="00C92FBF"/>
    <w:rsid w:val="00C93590"/>
    <w:rsid w:val="00C944C9"/>
    <w:rsid w:val="00C95A40"/>
    <w:rsid w:val="00C95FDE"/>
    <w:rsid w:val="00CA2A4B"/>
    <w:rsid w:val="00CB6264"/>
    <w:rsid w:val="00CD79DB"/>
    <w:rsid w:val="00CE386C"/>
    <w:rsid w:val="00CE4FE9"/>
    <w:rsid w:val="00CE5F3B"/>
    <w:rsid w:val="00CE6C52"/>
    <w:rsid w:val="00CF0C6E"/>
    <w:rsid w:val="00D02263"/>
    <w:rsid w:val="00D05083"/>
    <w:rsid w:val="00D05189"/>
    <w:rsid w:val="00D0600C"/>
    <w:rsid w:val="00D07AC6"/>
    <w:rsid w:val="00D103C7"/>
    <w:rsid w:val="00D13021"/>
    <w:rsid w:val="00D21A8F"/>
    <w:rsid w:val="00D246AA"/>
    <w:rsid w:val="00D24F73"/>
    <w:rsid w:val="00D30F23"/>
    <w:rsid w:val="00D32E65"/>
    <w:rsid w:val="00D36682"/>
    <w:rsid w:val="00D413A7"/>
    <w:rsid w:val="00D5066F"/>
    <w:rsid w:val="00D56CC7"/>
    <w:rsid w:val="00D60F78"/>
    <w:rsid w:val="00D71E58"/>
    <w:rsid w:val="00D81512"/>
    <w:rsid w:val="00D85EEA"/>
    <w:rsid w:val="00D95873"/>
    <w:rsid w:val="00DA4868"/>
    <w:rsid w:val="00DB3994"/>
    <w:rsid w:val="00DB4DB3"/>
    <w:rsid w:val="00DC1B7F"/>
    <w:rsid w:val="00DC54EA"/>
    <w:rsid w:val="00DC7A35"/>
    <w:rsid w:val="00DD3B65"/>
    <w:rsid w:val="00DF2F4C"/>
    <w:rsid w:val="00E01D23"/>
    <w:rsid w:val="00E02FB9"/>
    <w:rsid w:val="00E16539"/>
    <w:rsid w:val="00E2244B"/>
    <w:rsid w:val="00E34F46"/>
    <w:rsid w:val="00E360F5"/>
    <w:rsid w:val="00E36AE8"/>
    <w:rsid w:val="00E433A2"/>
    <w:rsid w:val="00E4379F"/>
    <w:rsid w:val="00E45EEE"/>
    <w:rsid w:val="00E46DC2"/>
    <w:rsid w:val="00E46F10"/>
    <w:rsid w:val="00E51E26"/>
    <w:rsid w:val="00E533D9"/>
    <w:rsid w:val="00E54A67"/>
    <w:rsid w:val="00E563E3"/>
    <w:rsid w:val="00E619E2"/>
    <w:rsid w:val="00E67406"/>
    <w:rsid w:val="00E75428"/>
    <w:rsid w:val="00E8127E"/>
    <w:rsid w:val="00E87145"/>
    <w:rsid w:val="00E9421F"/>
    <w:rsid w:val="00EA08FE"/>
    <w:rsid w:val="00EA439C"/>
    <w:rsid w:val="00EB7F3A"/>
    <w:rsid w:val="00EC193F"/>
    <w:rsid w:val="00EE165F"/>
    <w:rsid w:val="00EF086D"/>
    <w:rsid w:val="00EF09E1"/>
    <w:rsid w:val="00EF2F69"/>
    <w:rsid w:val="00F04FD9"/>
    <w:rsid w:val="00F053C2"/>
    <w:rsid w:val="00F05924"/>
    <w:rsid w:val="00F10492"/>
    <w:rsid w:val="00F112BB"/>
    <w:rsid w:val="00F16D44"/>
    <w:rsid w:val="00F172C9"/>
    <w:rsid w:val="00F226C8"/>
    <w:rsid w:val="00F26137"/>
    <w:rsid w:val="00F26774"/>
    <w:rsid w:val="00F32908"/>
    <w:rsid w:val="00F33E02"/>
    <w:rsid w:val="00F400A9"/>
    <w:rsid w:val="00F44025"/>
    <w:rsid w:val="00F4543D"/>
    <w:rsid w:val="00F50388"/>
    <w:rsid w:val="00F5208B"/>
    <w:rsid w:val="00F528E5"/>
    <w:rsid w:val="00F547B7"/>
    <w:rsid w:val="00F60FA9"/>
    <w:rsid w:val="00F64662"/>
    <w:rsid w:val="00F65DC8"/>
    <w:rsid w:val="00F66DF7"/>
    <w:rsid w:val="00F73149"/>
    <w:rsid w:val="00F81A0B"/>
    <w:rsid w:val="00F8523D"/>
    <w:rsid w:val="00F85ABF"/>
    <w:rsid w:val="00F87066"/>
    <w:rsid w:val="00F8759D"/>
    <w:rsid w:val="00F93F7D"/>
    <w:rsid w:val="00FB3F24"/>
    <w:rsid w:val="00FC3085"/>
    <w:rsid w:val="00FD4C18"/>
    <w:rsid w:val="00FE3D8C"/>
    <w:rsid w:val="00FE4D69"/>
    <w:rsid w:val="00FE6057"/>
    <w:rsid w:val="00FF15ED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384268A"/>
  <w15:docId w15:val="{6E058C80-8ED6-4988-BF3C-5E1AF3F1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71"/>
    <w:pPr>
      <w:spacing w:after="120" w:line="276" w:lineRule="auto"/>
      <w:ind w:firstLine="284"/>
      <w:jc w:val="both"/>
    </w:pPr>
    <w:rPr>
      <w:color w:val="404040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0CF5"/>
    <w:pPr>
      <w:keepNext/>
      <w:keepLines/>
      <w:spacing w:before="100" w:beforeAutospacing="1"/>
      <w:jc w:val="left"/>
      <w:outlineLvl w:val="0"/>
    </w:pPr>
    <w:rPr>
      <w:rFonts w:ascii="Roboto Medium" w:eastAsia="Times New Roman" w:hAnsi="Roboto Medium"/>
      <w:b/>
      <w:bCs/>
      <w:caps/>
      <w:color w:val="6699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CF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0CF5"/>
  </w:style>
  <w:style w:type="paragraph" w:styleId="Piedepgina">
    <w:name w:val="footer"/>
    <w:basedOn w:val="Normal"/>
    <w:link w:val="PiedepginaCar"/>
    <w:uiPriority w:val="99"/>
    <w:unhideWhenUsed/>
    <w:rsid w:val="00360CF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CF5"/>
  </w:style>
  <w:style w:type="paragraph" w:styleId="Textodeglobo">
    <w:name w:val="Balloon Text"/>
    <w:basedOn w:val="Normal"/>
    <w:link w:val="TextodegloboCar"/>
    <w:uiPriority w:val="99"/>
    <w:semiHidden/>
    <w:unhideWhenUsed/>
    <w:rsid w:val="00360CF5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0CF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360CF5"/>
    <w:rPr>
      <w:rFonts w:ascii="Roboto Medium" w:eastAsia="Times New Roman" w:hAnsi="Roboto Medium" w:cs="Times New Roman"/>
      <w:b/>
      <w:bCs/>
      <w:caps/>
      <w:color w:val="669900"/>
      <w:sz w:val="28"/>
      <w:szCs w:val="28"/>
    </w:rPr>
  </w:style>
  <w:style w:type="character" w:styleId="Hipervnculo">
    <w:name w:val="Hyperlink"/>
    <w:uiPriority w:val="99"/>
    <w:unhideWhenUsed/>
    <w:rsid w:val="00360CF5"/>
    <w:rPr>
      <w:color w:val="0000FF"/>
      <w:u w:val="single"/>
    </w:rPr>
  </w:style>
  <w:style w:type="paragraph" w:customStyle="1" w:styleId="EnlaceDOE">
    <w:name w:val="Enlace DOE"/>
    <w:basedOn w:val="Normal"/>
    <w:qFormat/>
    <w:rsid w:val="00360CF5"/>
    <w:pPr>
      <w:spacing w:before="240" w:after="240"/>
      <w:ind w:firstLine="0"/>
      <w:jc w:val="right"/>
    </w:pPr>
    <w:rPr>
      <w:b/>
      <w:color w:val="7F7F7F"/>
    </w:rPr>
  </w:style>
  <w:style w:type="paragraph" w:customStyle="1" w:styleId="LATERALTextonormal">
    <w:name w:val="LATERAL Texto normal"/>
    <w:basedOn w:val="Normal"/>
    <w:qFormat/>
    <w:rsid w:val="00360CF5"/>
    <w:pPr>
      <w:jc w:val="right"/>
    </w:pPr>
    <w:rPr>
      <w:color w:val="595959"/>
      <w:sz w:val="12"/>
    </w:rPr>
  </w:style>
  <w:style w:type="character" w:customStyle="1" w:styleId="phone">
    <w:name w:val="phone"/>
    <w:basedOn w:val="Fuentedeprrafopredeter"/>
    <w:rsid w:val="006A16B2"/>
  </w:style>
  <w:style w:type="table" w:styleId="Tablaconcuadrcula">
    <w:name w:val="Table Grid"/>
    <w:basedOn w:val="Tablanormal"/>
    <w:uiPriority w:val="59"/>
    <w:rsid w:val="005E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DC54EA"/>
    <w:pPr>
      <w:spacing w:after="0"/>
      <w:ind w:left="720" w:firstLine="0"/>
      <w:jc w:val="left"/>
    </w:pPr>
    <w:rPr>
      <w:sz w:val="22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F069E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F069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64EB3"/>
  </w:style>
  <w:style w:type="table" w:styleId="Cuadrculaclara-nfasis3">
    <w:name w:val="Light Grid Accent 3"/>
    <w:basedOn w:val="Tablanormal"/>
    <w:uiPriority w:val="62"/>
    <w:rsid w:val="006821D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he Blacklight" w:eastAsia="Times New Roman" w:hAnsi="The Black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he Blacklight" w:eastAsia="Times New Roman" w:hAnsi="The Black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he Blacklight" w:eastAsia="Times New Roman" w:hAnsi="The Blacklight" w:cs="Times New Roman"/>
        <w:b/>
        <w:bCs/>
      </w:rPr>
    </w:tblStylePr>
    <w:tblStylePr w:type="lastCol">
      <w:rPr>
        <w:rFonts w:ascii="The Blacklight" w:eastAsia="Times New Roman" w:hAnsi="The Black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1237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360F5"/>
    <w:pPr>
      <w:widowControl w:val="0"/>
      <w:autoSpaceDE w:val="0"/>
      <w:autoSpaceDN w:val="0"/>
      <w:spacing w:after="0"/>
      <w:ind w:firstLine="0"/>
      <w:jc w:val="left"/>
    </w:pPr>
    <w:rPr>
      <w:rFonts w:ascii="Arial" w:eastAsia="Arial" w:hAnsi="Arial"/>
      <w:color w:val="auto"/>
      <w:sz w:val="19"/>
      <w:szCs w:val="19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E360F5"/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Mencinsinresolver1">
    <w:name w:val="Mención sin resolver1"/>
    <w:uiPriority w:val="99"/>
    <w:semiHidden/>
    <w:unhideWhenUsed/>
    <w:rsid w:val="007A0B42"/>
    <w:rPr>
      <w:color w:val="808080"/>
      <w:shd w:val="clear" w:color="auto" w:fill="E6E6E6"/>
    </w:rPr>
  </w:style>
  <w:style w:type="paragraph" w:customStyle="1" w:styleId="T1">
    <w:name w:val="T1"/>
    <w:basedOn w:val="Ttulo1"/>
    <w:link w:val="T1Car"/>
    <w:qFormat/>
    <w:rsid w:val="003F0C89"/>
    <w:pPr>
      <w:shd w:val="clear" w:color="auto" w:fill="92D050"/>
      <w:spacing w:before="224" w:line="252" w:lineRule="auto"/>
    </w:pPr>
    <w:rPr>
      <w:color w:val="FFFFFF"/>
      <w:sz w:val="22"/>
    </w:rPr>
  </w:style>
  <w:style w:type="character" w:styleId="Hipervnculovisitado">
    <w:name w:val="FollowedHyperlink"/>
    <w:uiPriority w:val="99"/>
    <w:semiHidden/>
    <w:unhideWhenUsed/>
    <w:rsid w:val="00B35F0C"/>
    <w:rPr>
      <w:color w:val="954F72"/>
      <w:u w:val="single"/>
    </w:rPr>
  </w:style>
  <w:style w:type="character" w:customStyle="1" w:styleId="T1Car">
    <w:name w:val="T1 Car"/>
    <w:link w:val="T1"/>
    <w:rsid w:val="003F0C89"/>
    <w:rPr>
      <w:rFonts w:ascii="Roboto Medium" w:eastAsia="Times New Roman" w:hAnsi="Roboto Medium" w:cs="Times New Roman"/>
      <w:b/>
      <w:bCs/>
      <w:caps/>
      <w:color w:val="FFFFFF"/>
      <w:sz w:val="22"/>
      <w:szCs w:val="28"/>
      <w:shd w:val="clear" w:color="auto" w:fill="92D050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7517C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7517CF"/>
    <w:rPr>
      <w:rFonts w:ascii="Calibri Light" w:eastAsia="Times New Roman" w:hAnsi="Calibri Light" w:cs="Times New Roman"/>
      <w:b/>
      <w:bCs/>
      <w:color w:val="404040"/>
      <w:kern w:val="28"/>
      <w:sz w:val="32"/>
      <w:szCs w:val="32"/>
      <w:lang w:eastAsia="en-US"/>
    </w:rPr>
  </w:style>
  <w:style w:type="paragraph" w:styleId="Sinespaciado">
    <w:name w:val="No Spacing"/>
    <w:basedOn w:val="Normal"/>
    <w:uiPriority w:val="1"/>
    <w:qFormat/>
    <w:rsid w:val="00354757"/>
    <w:pPr>
      <w:spacing w:after="0" w:line="240" w:lineRule="auto"/>
      <w:ind w:firstLine="0"/>
      <w:jc w:val="left"/>
    </w:pPr>
    <w:rPr>
      <w:rFonts w:cs="Calibri"/>
      <w:color w:val="auto"/>
      <w:sz w:val="22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5B6E"/>
    <w:rPr>
      <w:color w:val="808080"/>
      <w:shd w:val="clear" w:color="auto" w:fill="E6E6E6"/>
    </w:rPr>
  </w:style>
  <w:style w:type="paragraph" w:customStyle="1" w:styleId="parrafo">
    <w:name w:val="parrafo"/>
    <w:basedOn w:val="Normal"/>
    <w:rsid w:val="00EA43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paragraph" w:customStyle="1" w:styleId="parrafo2">
    <w:name w:val="parrafo_2"/>
    <w:basedOn w:val="Normal"/>
    <w:rsid w:val="00EA43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32E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7A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cdti.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e.es/boe/dias/2022/05/19/pdfs/BOE-B-2022-15664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cdti.es/index.asp?MP=4&amp;MS=0&amp;MN=1&amp;TR=A&amp;IDR=1&amp;iddocumento=994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financiacionidi@extremaduraavante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e.es/boe/dias/2022/04/30/pdfs/BOE-A-2022-6991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nzazu.hernandez\AppData\Local\Microsoft\Windows\Temporary%20Internet%20Files\Content.Outlook\H2SZB408\Plantilla%20Ficha%20Asesoramiento%20Actuaci&#243;n%202%20I2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9DBDA38569384A9E4DD5534FE78AE6" ma:contentTypeVersion="15" ma:contentTypeDescription="Crear nuevo documento." ma:contentTypeScope="" ma:versionID="e03c61d89dd60426b89dc30d386e193c">
  <xsd:schema xmlns:xsd="http://www.w3.org/2001/XMLSchema" xmlns:xs="http://www.w3.org/2001/XMLSchema" xmlns:p="http://schemas.microsoft.com/office/2006/metadata/properties" xmlns:ns2="70623ad4-d482-4bc3-92d3-65b5719449f1" xmlns:ns3="9cb3cc17-bb15-4f89-a72c-0382516555e1" targetNamespace="http://schemas.microsoft.com/office/2006/metadata/properties" ma:root="true" ma:fieldsID="f692709a5f02a7ef3b1859eb38bcf858" ns2:_="" ns3:_="">
    <xsd:import namespace="70623ad4-d482-4bc3-92d3-65b5719449f1"/>
    <xsd:import namespace="9cb3cc17-bb15-4f89-a72c-038251655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3ad4-d482-4bc3-92d3-65b571944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cc17-bb15-4f89-a72c-0382516555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baf46a-f6c7-4e76-9d99-8c1881889b81}" ma:internalName="TaxCatchAll" ma:showField="CatchAllData" ma:web="9cb3cc17-bb15-4f89-a72c-038251655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623ad4-d482-4bc3-92d3-65b5719449f1" xsi:nil="true"/>
    <lcf76f155ced4ddcb4097134ff3c332f xmlns="70623ad4-d482-4bc3-92d3-65b5719449f1">
      <Terms xmlns="http://schemas.microsoft.com/office/infopath/2007/PartnerControls"/>
    </lcf76f155ced4ddcb4097134ff3c332f>
    <TaxCatchAll xmlns="9cb3cc17-bb15-4f89-a72c-0382516555e1" xsi:nil="true"/>
  </documentManagement>
</p:properties>
</file>

<file path=customXml/itemProps1.xml><?xml version="1.0" encoding="utf-8"?>
<ds:datastoreItem xmlns:ds="http://schemas.openxmlformats.org/officeDocument/2006/customXml" ds:itemID="{37C7A3E7-B8B2-4D30-84AE-A49FAA9D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31C75-1A40-476D-AACA-BFC34E205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23ad4-d482-4bc3-92d3-65b5719449f1"/>
    <ds:schemaRef ds:uri="9cb3cc17-bb15-4f89-a72c-038251655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E6446-EA3A-4453-939C-EDB8B0B4C0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CE9C7-6F0C-40F9-92BC-B21F330EC9EB}">
  <ds:schemaRefs>
    <ds:schemaRef ds:uri="http://www.w3.org/XML/1998/namespace"/>
    <ds:schemaRef ds:uri="http://purl.org/dc/elements/1.1/"/>
    <ds:schemaRef ds:uri="http://schemas.openxmlformats.org/package/2006/metadata/core-properties"/>
    <ds:schemaRef ds:uri="70623ad4-d482-4bc3-92d3-65b5719449f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9cb3cc17-bb15-4f89-a72c-0382516555e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Ficha Asesoramiento Actuación 2 I2a</Template>
  <TotalTime>0</TotalTime>
  <Pages>3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6827</CharactersWithSpaces>
  <SharedDoc>false</SharedDoc>
  <HLinks>
    <vt:vector size="30" baseType="variant">
      <vt:variant>
        <vt:i4>7864392</vt:i4>
      </vt:variant>
      <vt:variant>
        <vt:i4>12</vt:i4>
      </vt:variant>
      <vt:variant>
        <vt:i4>0</vt:i4>
      </vt:variant>
      <vt:variant>
        <vt:i4>5</vt:i4>
      </vt:variant>
      <vt:variant>
        <vt:lpwstr>mailto:financiacionidi@extremaduraavante.es</vt:lpwstr>
      </vt:variant>
      <vt:variant>
        <vt:lpwstr/>
      </vt:variant>
      <vt:variant>
        <vt:i4>1703956</vt:i4>
      </vt:variant>
      <vt:variant>
        <vt:i4>9</vt:i4>
      </vt:variant>
      <vt:variant>
        <vt:i4>0</vt:i4>
      </vt:variant>
      <vt:variant>
        <vt:i4>5</vt:i4>
      </vt:variant>
      <vt:variant>
        <vt:lpwstr>https://sede.cdti.gob.es/</vt:lpwstr>
      </vt:variant>
      <vt:variant>
        <vt:lpwstr/>
      </vt:variant>
      <vt:variant>
        <vt:i4>6357048</vt:i4>
      </vt:variant>
      <vt:variant>
        <vt:i4>6</vt:i4>
      </vt:variant>
      <vt:variant>
        <vt:i4>0</vt:i4>
      </vt:variant>
      <vt:variant>
        <vt:i4>5</vt:i4>
      </vt:variant>
      <vt:variant>
        <vt:lpwstr>http://www.cdti.es/</vt:lpwstr>
      </vt:variant>
      <vt:variant>
        <vt:lpwstr/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>https://www.boe.es/boe/dias/2022/05/19/pdfs/BOE-B-2022-15664.pdf</vt:lpwstr>
      </vt:variant>
      <vt:variant>
        <vt:lpwstr/>
      </vt:variant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https://www.boe.es/boe/dias/2022/04/30/pdfs/BOE-A-2022-6991.pdf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aranzazu.hernandez</dc:creator>
  <cp:keywords/>
  <cp:lastModifiedBy>Arancha Hernández</cp:lastModifiedBy>
  <cp:revision>2</cp:revision>
  <cp:lastPrinted>2022-05-19T10:28:00Z</cp:lastPrinted>
  <dcterms:created xsi:type="dcterms:W3CDTF">2022-05-19T10:52:00Z</dcterms:created>
  <dcterms:modified xsi:type="dcterms:W3CDTF">2022-05-19T10:52:00Z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0x010100CF9DBDA38569384A9E4DD5534FE78AE6</vt:lpwstr>
  </property>
  <property fmtid="{D5CDD505-2E9C-101B-9397-08002B2CF9AE}" pid="3" name="Order">
    <vt:r8>325000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