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DD0BA" w14:textId="54B76397" w:rsidR="00216E75" w:rsidRDefault="00216E75" w:rsidP="00945F7B">
      <w:pPr>
        <w:pStyle w:val="ListParagraph1"/>
        <w:ind w:left="0"/>
        <w:rPr>
          <w:rFonts w:cs="Arial"/>
          <w:b/>
          <w:bCs/>
        </w:rPr>
      </w:pPr>
      <w:r>
        <w:rPr>
          <w:rFonts w:cs="Arial"/>
          <w:b/>
          <w:bCs/>
        </w:rPr>
        <w:t>Apéndice 5: Documentación administrativa</w:t>
      </w:r>
    </w:p>
    <w:p w14:paraId="1A748CF9" w14:textId="77777777" w:rsidR="00216E75" w:rsidRPr="00216E75" w:rsidRDefault="00216E75" w:rsidP="00945F7B">
      <w:pPr>
        <w:pStyle w:val="ListParagraph1"/>
        <w:ind w:left="0"/>
        <w:rPr>
          <w:rFonts w:cs="Arial"/>
          <w:b/>
          <w:bCs/>
        </w:rPr>
      </w:pPr>
    </w:p>
    <w:p w14:paraId="149FB494" w14:textId="3D85E1A2" w:rsidR="00945F7B" w:rsidRDefault="00945F7B" w:rsidP="00945F7B">
      <w:pPr>
        <w:pStyle w:val="ListParagraph1"/>
        <w:ind w:left="0"/>
        <w:rPr>
          <w:rFonts w:cs="Arial"/>
          <w:i/>
        </w:rPr>
      </w:pPr>
      <w:r>
        <w:rPr>
          <w:rFonts w:cs="Arial"/>
        </w:rPr>
        <w:t>A efectos de comprobar el cumplimiento de los requisitos para ser intermediario financiero, el solicitante deberá presentar la siguiente documentación administrativa:</w:t>
      </w:r>
    </w:p>
    <w:p w14:paraId="4DDF42C5" w14:textId="77777777" w:rsidR="00945F7B" w:rsidRDefault="00945F7B" w:rsidP="00945F7B">
      <w:pPr>
        <w:pStyle w:val="ListParagraph1"/>
        <w:ind w:left="0"/>
        <w:rPr>
          <w:rFonts w:cs="Arial"/>
        </w:rPr>
      </w:pPr>
      <w:r>
        <w:rPr>
          <w:rFonts w:cs="Arial"/>
          <w:i/>
        </w:rPr>
        <w:t>(Entre paréntesis se señala la relación con cada requisito para ser seleccionado intermediario financiero)</w:t>
      </w:r>
    </w:p>
    <w:p w14:paraId="09115177" w14:textId="77777777" w:rsidR="00945F7B" w:rsidRDefault="00945F7B" w:rsidP="00945F7B">
      <w:pPr>
        <w:pStyle w:val="ListParagraph1"/>
        <w:ind w:left="152"/>
        <w:rPr>
          <w:rFonts w:cs="Arial"/>
        </w:rPr>
      </w:pPr>
    </w:p>
    <w:p w14:paraId="786F0A29" w14:textId="77777777" w:rsidR="00945F7B" w:rsidRPr="00FF6FB8" w:rsidRDefault="00945F7B" w:rsidP="00945F7B">
      <w:pPr>
        <w:pStyle w:val="ListParagraph1"/>
        <w:numPr>
          <w:ilvl w:val="0"/>
          <w:numId w:val="2"/>
        </w:numPr>
        <w:spacing w:after="200" w:line="276" w:lineRule="auto"/>
        <w:rPr>
          <w:rFonts w:eastAsia="Calibri"/>
        </w:rPr>
      </w:pPr>
      <w:r w:rsidRPr="002658AA">
        <w:rPr>
          <w:rFonts w:cs="Arial"/>
        </w:rPr>
        <w:t xml:space="preserve">Autorización administrativa del Banco </w:t>
      </w:r>
      <w:r>
        <w:rPr>
          <w:rFonts w:cs="Arial"/>
        </w:rPr>
        <w:t xml:space="preserve">Central europeo, del Banco </w:t>
      </w:r>
      <w:r w:rsidRPr="002658AA">
        <w:rPr>
          <w:rFonts w:cs="Arial"/>
        </w:rPr>
        <w:t xml:space="preserve">de España </w:t>
      </w:r>
      <w:r>
        <w:rPr>
          <w:rFonts w:cs="Arial"/>
        </w:rPr>
        <w:t xml:space="preserve">o entidad equivalente </w:t>
      </w:r>
      <w:r w:rsidRPr="002658AA">
        <w:rPr>
          <w:rFonts w:cs="Arial"/>
        </w:rPr>
        <w:t>y comprobante de cumplimiento de requisitos de solvencia para operar como entidad financiera en España (o documentación similar para entidades supervisadas en otro Estado Miembro) en base a la Ley 10/2014, de 26 de junio, de ordenación, supervisión y sol</w:t>
      </w:r>
      <w:r>
        <w:rPr>
          <w:rFonts w:cs="Arial"/>
        </w:rPr>
        <w:t xml:space="preserve">vencia de entidades de </w:t>
      </w:r>
      <w:r w:rsidRPr="00FF6FB8">
        <w:rPr>
          <w:rFonts w:cs="Arial"/>
        </w:rPr>
        <w:t>crédito o normativa equivalente para otro tipo de entidades. (A.1.)</w:t>
      </w:r>
    </w:p>
    <w:p w14:paraId="56E5AF1E" w14:textId="77777777" w:rsidR="00945F7B" w:rsidRPr="00FF6FB8" w:rsidRDefault="00945F7B" w:rsidP="00945F7B">
      <w:pPr>
        <w:pStyle w:val="ListParagraph1"/>
        <w:spacing w:after="200" w:line="276" w:lineRule="auto"/>
        <w:ind w:left="360"/>
        <w:rPr>
          <w:rFonts w:eastAsia="Calibri"/>
        </w:rPr>
      </w:pPr>
    </w:p>
    <w:p w14:paraId="447C0537" w14:textId="77777777" w:rsidR="00945F7B" w:rsidRPr="00CE373A" w:rsidRDefault="00945F7B" w:rsidP="00945F7B">
      <w:pPr>
        <w:pStyle w:val="ListParagraph1"/>
        <w:numPr>
          <w:ilvl w:val="0"/>
          <w:numId w:val="2"/>
        </w:numPr>
        <w:spacing w:after="200" w:line="276" w:lineRule="auto"/>
        <w:rPr>
          <w:rFonts w:cs="Arial"/>
        </w:rPr>
      </w:pPr>
      <w:r w:rsidRPr="00CE373A">
        <w:rPr>
          <w:rFonts w:cs="Arial"/>
        </w:rPr>
        <w:t>Proyectos, informes u otros documentos propios probatorios del conocimiento del Intermediario Financiero en relación a productos y servicios de garantía y/o productos financieros destinados a financiar obras de rehabilitación y mejora de edificios residenciales y/o productos financieros destinados a comunidades de propietarios. (A2)</w:t>
      </w:r>
    </w:p>
    <w:p w14:paraId="64E0D75C" w14:textId="77777777" w:rsidR="00945F7B" w:rsidRPr="00A66965" w:rsidRDefault="00945F7B" w:rsidP="00945F7B">
      <w:pPr>
        <w:pStyle w:val="ListParagraph1"/>
        <w:spacing w:after="200" w:line="276" w:lineRule="auto"/>
        <w:ind w:left="0"/>
        <w:rPr>
          <w:rFonts w:cs="Arial"/>
        </w:rPr>
      </w:pPr>
    </w:p>
    <w:p w14:paraId="20B2D019" w14:textId="77777777" w:rsidR="00945F7B" w:rsidRPr="00CE373A" w:rsidRDefault="00945F7B" w:rsidP="00945F7B">
      <w:pPr>
        <w:pStyle w:val="ListParagraph1"/>
        <w:numPr>
          <w:ilvl w:val="0"/>
          <w:numId w:val="2"/>
        </w:numPr>
        <w:spacing w:after="200" w:line="276" w:lineRule="auto"/>
        <w:rPr>
          <w:rFonts w:cs="Arial"/>
          <w:shd w:val="clear" w:color="auto" w:fill="FFFF00"/>
        </w:rPr>
      </w:pPr>
      <w:r w:rsidRPr="00CE373A">
        <w:rPr>
          <w:rFonts w:cs="Arial"/>
        </w:rPr>
        <w:t>Memoria de la entidad y/o informes anuales que demuestren que el intermediario financiero ha ofertado con anterioridad los productos financieros referenciados en el apartado anterior. (A.2)</w:t>
      </w:r>
    </w:p>
    <w:p w14:paraId="06E6033C" w14:textId="77777777" w:rsidR="00945F7B" w:rsidRDefault="00945F7B" w:rsidP="00945F7B">
      <w:pPr>
        <w:pStyle w:val="ListParagraph1"/>
        <w:ind w:left="0"/>
        <w:rPr>
          <w:rFonts w:cs="Arial"/>
          <w:shd w:val="clear" w:color="auto" w:fill="FFFF00"/>
        </w:rPr>
      </w:pPr>
    </w:p>
    <w:p w14:paraId="4116D875" w14:textId="77777777" w:rsidR="00945F7B" w:rsidRDefault="00945F7B" w:rsidP="00945F7B">
      <w:pPr>
        <w:pStyle w:val="ListParagraph1"/>
        <w:ind w:left="360"/>
        <w:rPr>
          <w:rFonts w:cs="Arial"/>
        </w:rPr>
      </w:pPr>
      <w:r>
        <w:rPr>
          <w:rFonts w:cs="Arial"/>
        </w:rPr>
        <w:t>Asimismo, aportará al menos la siguiente información de la tabla (una fila por cada línea y año de actividad gestionada):</w:t>
      </w:r>
    </w:p>
    <w:p w14:paraId="247ADB2B" w14:textId="77777777" w:rsidR="00945F7B" w:rsidRDefault="00945F7B" w:rsidP="00945F7B">
      <w:pPr>
        <w:pStyle w:val="ListParagraph1"/>
        <w:rPr>
          <w:rFonts w:cs="Arial"/>
        </w:rPr>
      </w:pPr>
    </w:p>
    <w:tbl>
      <w:tblPr>
        <w:tblW w:w="9223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49"/>
        <w:gridCol w:w="1304"/>
        <w:gridCol w:w="1320"/>
        <w:gridCol w:w="1417"/>
        <w:gridCol w:w="1368"/>
        <w:gridCol w:w="1368"/>
        <w:gridCol w:w="1397"/>
      </w:tblGrid>
      <w:tr w:rsidR="00945F7B" w14:paraId="35F8FAE0" w14:textId="77777777" w:rsidTr="00716623">
        <w:trPr>
          <w:trHeight w:val="562"/>
        </w:trPr>
        <w:tc>
          <w:tcPr>
            <w:tcW w:w="1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836D239" w14:textId="77777777" w:rsidR="00945F7B" w:rsidRDefault="00945F7B" w:rsidP="00716623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Anualidad</w:t>
            </w:r>
          </w:p>
        </w:tc>
        <w:tc>
          <w:tcPr>
            <w:tcW w:w="13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A2B80C5" w14:textId="77777777" w:rsidR="00945F7B" w:rsidRDefault="00945F7B" w:rsidP="00716623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Préstamos concedidos</w:t>
            </w:r>
            <w:r>
              <w:rPr>
                <w:rFonts w:cs="Arial"/>
                <w:sz w:val="16"/>
                <w:szCs w:val="18"/>
              </w:rPr>
              <w:t xml:space="preserve"> </w:t>
            </w:r>
            <w:r>
              <w:rPr>
                <w:rFonts w:cs="Arial"/>
                <w:sz w:val="16"/>
                <w:szCs w:val="18"/>
              </w:rPr>
              <w:br/>
              <w:t>(€)</w:t>
            </w:r>
          </w:p>
        </w:tc>
        <w:tc>
          <w:tcPr>
            <w:tcW w:w="1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1F7B18D" w14:textId="77777777" w:rsidR="00945F7B" w:rsidRDefault="00945F7B" w:rsidP="00716623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 xml:space="preserve">Préstamos concedidos </w:t>
            </w:r>
            <w:r>
              <w:rPr>
                <w:rFonts w:cs="Arial"/>
                <w:sz w:val="16"/>
                <w:szCs w:val="18"/>
              </w:rPr>
              <w:t>(número)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6633999" w14:textId="77777777" w:rsidR="00945F7B" w:rsidRDefault="00945F7B" w:rsidP="00716623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Ámbito Geográfico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7A59872" w14:textId="77777777" w:rsidR="00945F7B" w:rsidRDefault="00945F7B" w:rsidP="00716623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 xml:space="preserve">Ratio de Morosidad </w:t>
            </w:r>
            <w:r>
              <w:rPr>
                <w:rFonts w:cs="Arial"/>
                <w:b/>
                <w:sz w:val="16"/>
                <w:szCs w:val="18"/>
              </w:rPr>
              <w:br/>
            </w:r>
            <w:r>
              <w:rPr>
                <w:rFonts w:cs="Arial"/>
                <w:sz w:val="16"/>
                <w:szCs w:val="18"/>
              </w:rPr>
              <w:t>(%)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6D61C89" w14:textId="77777777" w:rsidR="00945F7B" w:rsidRDefault="00945F7B" w:rsidP="00716623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Ratio de Cobertura</w:t>
            </w:r>
            <w:r>
              <w:rPr>
                <w:rFonts w:cs="Arial"/>
                <w:b/>
                <w:sz w:val="16"/>
                <w:szCs w:val="18"/>
              </w:rPr>
              <w:br/>
            </w:r>
            <w:r>
              <w:rPr>
                <w:rFonts w:cs="Arial"/>
                <w:sz w:val="16"/>
                <w:szCs w:val="18"/>
              </w:rPr>
              <w:t xml:space="preserve"> (%)</w:t>
            </w:r>
          </w:p>
        </w:tc>
        <w:tc>
          <w:tcPr>
            <w:tcW w:w="1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F11ACC7" w14:textId="77777777" w:rsidR="00945F7B" w:rsidRDefault="00945F7B" w:rsidP="00716623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Fallido sobre total concedido</w:t>
            </w:r>
          </w:p>
          <w:p w14:paraId="241E358C" w14:textId="77777777" w:rsidR="00945F7B" w:rsidRDefault="00945F7B" w:rsidP="00716623">
            <w:pPr>
              <w:jc w:val="center"/>
            </w:pPr>
            <w:r>
              <w:rPr>
                <w:rFonts w:cs="Arial"/>
                <w:sz w:val="16"/>
                <w:szCs w:val="18"/>
              </w:rPr>
              <w:t>(%)</w:t>
            </w:r>
          </w:p>
        </w:tc>
      </w:tr>
      <w:tr w:rsidR="00945F7B" w14:paraId="30521661" w14:textId="77777777" w:rsidTr="00716623">
        <w:trPr>
          <w:trHeight w:val="201"/>
        </w:trPr>
        <w:tc>
          <w:tcPr>
            <w:tcW w:w="1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BBD3400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480A890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6CF5782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B5CDCBB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48CEF37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DC1DF6F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1A55F9F" w14:textId="77777777" w:rsidR="00945F7B" w:rsidRDefault="00945F7B" w:rsidP="00716623">
            <w:pPr>
              <w:jc w:val="center"/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</w:tr>
      <w:tr w:rsidR="00945F7B" w14:paraId="7486C6C5" w14:textId="77777777" w:rsidTr="00716623">
        <w:trPr>
          <w:trHeight w:val="201"/>
        </w:trPr>
        <w:tc>
          <w:tcPr>
            <w:tcW w:w="1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83142E1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4DFA20E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258D7A4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5557F6C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C065211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9870502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BD7E55D" w14:textId="77777777" w:rsidR="00945F7B" w:rsidRDefault="00945F7B" w:rsidP="00716623">
            <w:pPr>
              <w:jc w:val="center"/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</w:tr>
      <w:tr w:rsidR="00945F7B" w14:paraId="73FC286A" w14:textId="77777777" w:rsidTr="00716623">
        <w:trPr>
          <w:trHeight w:val="216"/>
        </w:trPr>
        <w:tc>
          <w:tcPr>
            <w:tcW w:w="1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184774A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1E13850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83A143A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726D3A2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791C12D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DAC8E39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FD9075B" w14:textId="77777777" w:rsidR="00945F7B" w:rsidRDefault="00945F7B" w:rsidP="00716623">
            <w:pPr>
              <w:jc w:val="center"/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</w:tr>
      <w:tr w:rsidR="00945F7B" w14:paraId="32CDCD69" w14:textId="77777777" w:rsidTr="00716623">
        <w:trPr>
          <w:trHeight w:val="201"/>
        </w:trPr>
        <w:tc>
          <w:tcPr>
            <w:tcW w:w="1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BA75C2D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E87F2F4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08054DB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64423B5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F1AC1E6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08D8B05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11AF8F5" w14:textId="77777777" w:rsidR="00945F7B" w:rsidRDefault="00945F7B" w:rsidP="00716623">
            <w:pPr>
              <w:jc w:val="center"/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</w:tr>
      <w:tr w:rsidR="00945F7B" w14:paraId="4427C256" w14:textId="77777777" w:rsidTr="00716623">
        <w:trPr>
          <w:trHeight w:val="201"/>
        </w:trPr>
        <w:tc>
          <w:tcPr>
            <w:tcW w:w="1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C4DF91B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65A50FB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1E194AA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610EB64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2232690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98B1483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79EDA42" w14:textId="77777777" w:rsidR="00945F7B" w:rsidRDefault="00945F7B" w:rsidP="00716623">
            <w:pPr>
              <w:jc w:val="center"/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</w:tr>
      <w:tr w:rsidR="00945F7B" w14:paraId="071D8DCE" w14:textId="77777777" w:rsidTr="00716623">
        <w:trPr>
          <w:trHeight w:val="201"/>
        </w:trPr>
        <w:tc>
          <w:tcPr>
            <w:tcW w:w="1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4572519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E371156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1A1079B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9AD8659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107D149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3F4B168" w14:textId="77777777" w:rsidR="00945F7B" w:rsidRDefault="00945F7B" w:rsidP="0071662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  <w:tc>
          <w:tcPr>
            <w:tcW w:w="1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D469060" w14:textId="77777777" w:rsidR="00945F7B" w:rsidRDefault="00945F7B" w:rsidP="00716623">
            <w:pPr>
              <w:jc w:val="center"/>
            </w:pPr>
            <w:r>
              <w:rPr>
                <w:rFonts w:cs="Arial"/>
                <w:sz w:val="18"/>
                <w:szCs w:val="18"/>
              </w:rPr>
              <w:t>(…)</w:t>
            </w:r>
          </w:p>
        </w:tc>
      </w:tr>
    </w:tbl>
    <w:p w14:paraId="13D5C848" w14:textId="77777777" w:rsidR="00945F7B" w:rsidRDefault="00945F7B" w:rsidP="00945F7B"/>
    <w:p w14:paraId="0B7122FA" w14:textId="77777777" w:rsidR="00945F7B" w:rsidRDefault="00945F7B" w:rsidP="00945F7B">
      <w:pPr>
        <w:pStyle w:val="ListParagraph1"/>
        <w:numPr>
          <w:ilvl w:val="0"/>
          <w:numId w:val="2"/>
        </w:numPr>
        <w:spacing w:after="200" w:line="276" w:lineRule="auto"/>
        <w:rPr>
          <w:rFonts w:cs="Arial"/>
        </w:rPr>
      </w:pPr>
      <w:r>
        <w:rPr>
          <w:rFonts w:cs="Arial"/>
        </w:rPr>
        <w:t>Descripción de la estructura organizativa y de gobernanza de la entidad: órganos de gobierno, órganos de gestión y resto de personal. (A.4.)</w:t>
      </w:r>
    </w:p>
    <w:p w14:paraId="0E577E1E" w14:textId="77777777" w:rsidR="00945F7B" w:rsidRPr="009E3224" w:rsidRDefault="00945F7B" w:rsidP="00945F7B">
      <w:pPr>
        <w:pStyle w:val="Prrafodelista"/>
        <w:numPr>
          <w:ilvl w:val="0"/>
          <w:numId w:val="1"/>
        </w:numPr>
        <w:rPr>
          <w:rFonts w:eastAsia="Calibri" w:cs="Calibri"/>
          <w:color w:val="000000"/>
          <w:lang w:eastAsia="zh-CN"/>
        </w:rPr>
      </w:pPr>
      <w:r w:rsidRPr="009E3224">
        <w:rPr>
          <w:rFonts w:eastAsia="Calibri" w:cs="Calibri"/>
          <w:color w:val="000000"/>
          <w:lang w:eastAsia="zh-CN"/>
        </w:rPr>
        <w:t>En caso de ser entidad financiera de crédito, de acuerdo a lo establecido en el capítulo V sobre gobierno corporativo del Título I de la Ley 10/2014, de 26 de junio, de ordenación, supervisión y solvencia de entidades de crédito.</w:t>
      </w:r>
    </w:p>
    <w:p w14:paraId="4D8E03F3" w14:textId="77777777" w:rsidR="00945F7B" w:rsidRPr="009E3224" w:rsidRDefault="00945F7B" w:rsidP="00945F7B">
      <w:pPr>
        <w:pStyle w:val="Prrafodelista"/>
        <w:rPr>
          <w:rFonts w:eastAsia="Calibri" w:cs="Calibri"/>
          <w:color w:val="000000"/>
          <w:lang w:eastAsia="zh-CN"/>
        </w:rPr>
      </w:pPr>
    </w:p>
    <w:p w14:paraId="5C3A6891" w14:textId="77777777" w:rsidR="00945F7B" w:rsidRPr="009E3224" w:rsidRDefault="00945F7B" w:rsidP="00945F7B">
      <w:pPr>
        <w:pStyle w:val="Prrafodelista"/>
        <w:numPr>
          <w:ilvl w:val="0"/>
          <w:numId w:val="1"/>
        </w:numPr>
        <w:rPr>
          <w:rFonts w:eastAsia="Calibri" w:cs="Calibri"/>
          <w:color w:val="000000"/>
          <w:lang w:eastAsia="zh-CN"/>
        </w:rPr>
      </w:pPr>
      <w:r w:rsidRPr="00FF6FB8">
        <w:rPr>
          <w:rFonts w:eastAsia="Calibri" w:cs="Calibri"/>
          <w:lang w:eastAsia="zh-CN"/>
        </w:rPr>
        <w:t xml:space="preserve">En caso de ser otro tipo de entidad, normativa de aplicación equivalente. </w:t>
      </w:r>
    </w:p>
    <w:p w14:paraId="47CA5865" w14:textId="77777777" w:rsidR="00945F7B" w:rsidRPr="009E3224" w:rsidRDefault="00945F7B" w:rsidP="00945F7B">
      <w:pPr>
        <w:pStyle w:val="Prrafodelista"/>
        <w:rPr>
          <w:rFonts w:eastAsia="Calibri" w:cs="Calibri"/>
          <w:color w:val="000000"/>
          <w:lang w:eastAsia="zh-CN"/>
        </w:rPr>
      </w:pPr>
    </w:p>
    <w:p w14:paraId="38ADECBD" w14:textId="77777777" w:rsidR="00945F7B" w:rsidRPr="00491E01" w:rsidRDefault="00945F7B" w:rsidP="00945F7B">
      <w:pPr>
        <w:pStyle w:val="Prrafodelista"/>
        <w:numPr>
          <w:ilvl w:val="0"/>
          <w:numId w:val="2"/>
        </w:numPr>
        <w:rPr>
          <w:rFonts w:cs="Arial"/>
        </w:rPr>
      </w:pPr>
      <w:r w:rsidRPr="00491E01">
        <w:rPr>
          <w:rFonts w:cs="Arial"/>
        </w:rPr>
        <w:t>Descripción del sistema de control interno de la entidad. (A.</w:t>
      </w:r>
      <w:r>
        <w:rPr>
          <w:rFonts w:cs="Arial"/>
        </w:rPr>
        <w:t>5</w:t>
      </w:r>
      <w:r w:rsidRPr="00491E01">
        <w:rPr>
          <w:rFonts w:cs="Arial"/>
        </w:rPr>
        <w:t xml:space="preserve">.). Dicha descripción se desarrollará en base a lo establecido en </w:t>
      </w:r>
      <w:r w:rsidRPr="00BD115B">
        <w:rPr>
          <w:rFonts w:cs="Arial"/>
        </w:rPr>
        <w:t>el capítulo IV de la Ley 10/2010, de 28 de abril, de prevención del blanqueo de capitales y de la financiación del terrorismo</w:t>
      </w:r>
      <w:r w:rsidRPr="00491E01">
        <w:rPr>
          <w:rFonts w:cs="Arial"/>
        </w:rPr>
        <w:t>.</w:t>
      </w:r>
    </w:p>
    <w:p w14:paraId="035FE488" w14:textId="77777777" w:rsidR="00945F7B" w:rsidRDefault="00945F7B" w:rsidP="00945F7B">
      <w:pPr>
        <w:pStyle w:val="ListParagraph1"/>
        <w:spacing w:after="200" w:line="276" w:lineRule="auto"/>
        <w:ind w:left="360"/>
        <w:rPr>
          <w:rFonts w:cs="Arial"/>
        </w:rPr>
      </w:pPr>
    </w:p>
    <w:p w14:paraId="10CEEF08" w14:textId="77777777" w:rsidR="00945F7B" w:rsidRPr="00491E01" w:rsidRDefault="00945F7B" w:rsidP="00945F7B">
      <w:pPr>
        <w:pStyle w:val="ListParagraph1"/>
        <w:numPr>
          <w:ilvl w:val="0"/>
          <w:numId w:val="2"/>
        </w:numPr>
        <w:spacing w:after="200" w:line="276" w:lineRule="auto"/>
        <w:rPr>
          <w:rFonts w:cs="Arial"/>
        </w:rPr>
      </w:pPr>
      <w:r w:rsidRPr="00491E01">
        <w:rPr>
          <w:rFonts w:cs="Arial"/>
        </w:rPr>
        <w:t>Descripción del sistema de contabilidad disponible, debiendo garantizar que facilite la obtención de información de forma exacta, exhaustiva y fidedigna. (A.</w:t>
      </w:r>
      <w:r>
        <w:rPr>
          <w:rFonts w:cs="Arial"/>
        </w:rPr>
        <w:t>6</w:t>
      </w:r>
      <w:r w:rsidRPr="00491E01">
        <w:rPr>
          <w:rFonts w:cs="Arial"/>
        </w:rPr>
        <w:t>.) Dicha descripción se desarrollará:</w:t>
      </w:r>
    </w:p>
    <w:p w14:paraId="6DB4AD2B" w14:textId="77777777" w:rsidR="00945F7B" w:rsidRPr="009E3224" w:rsidRDefault="00945F7B" w:rsidP="00945F7B">
      <w:pPr>
        <w:pStyle w:val="Prrafodelista"/>
        <w:numPr>
          <w:ilvl w:val="0"/>
          <w:numId w:val="1"/>
        </w:numPr>
        <w:rPr>
          <w:rFonts w:eastAsia="Calibri" w:cs="Calibri"/>
          <w:color w:val="000000"/>
          <w:lang w:eastAsia="zh-CN"/>
        </w:rPr>
      </w:pPr>
      <w:r w:rsidRPr="009E3224">
        <w:rPr>
          <w:rFonts w:eastAsia="Calibri" w:cs="Calibri"/>
          <w:color w:val="000000"/>
          <w:lang w:eastAsia="zh-CN"/>
        </w:rPr>
        <w:lastRenderedPageBreak/>
        <w:t>En caso de ser entidad financiera de crédito, de acuerdo con lo establecido en el Capítulo cuarto del Título I de la Circular 4/2017 del Banco de España.</w:t>
      </w:r>
    </w:p>
    <w:p w14:paraId="47642B5A" w14:textId="77777777" w:rsidR="00945F7B" w:rsidRPr="009E3224" w:rsidRDefault="00945F7B" w:rsidP="00945F7B">
      <w:pPr>
        <w:pStyle w:val="Prrafodelista"/>
        <w:rPr>
          <w:rFonts w:eastAsia="Calibri" w:cs="Calibri"/>
          <w:color w:val="000000"/>
          <w:lang w:eastAsia="zh-CN"/>
        </w:rPr>
      </w:pPr>
    </w:p>
    <w:p w14:paraId="68E008B7" w14:textId="77777777" w:rsidR="00945F7B" w:rsidRPr="009E3224" w:rsidRDefault="00945F7B" w:rsidP="00945F7B">
      <w:pPr>
        <w:pStyle w:val="Prrafodelista"/>
        <w:numPr>
          <w:ilvl w:val="0"/>
          <w:numId w:val="1"/>
        </w:numPr>
        <w:rPr>
          <w:rFonts w:eastAsia="Calibri" w:cs="Calibri"/>
          <w:color w:val="000000"/>
          <w:lang w:eastAsia="zh-CN"/>
        </w:rPr>
      </w:pPr>
      <w:r w:rsidRPr="00FF6FB8">
        <w:rPr>
          <w:rFonts w:eastAsia="Calibri" w:cs="Calibri"/>
          <w:lang w:eastAsia="zh-CN"/>
        </w:rPr>
        <w:t>En caso de ser otro tipo de entidad</w:t>
      </w:r>
      <w:r w:rsidRPr="009E3224">
        <w:rPr>
          <w:rFonts w:eastAsia="Calibri" w:cs="Calibri"/>
          <w:color w:val="000000"/>
          <w:lang w:eastAsia="zh-CN"/>
        </w:rPr>
        <w:t>, normativa de aplicación equivalente.</w:t>
      </w:r>
    </w:p>
    <w:p w14:paraId="75BB3955" w14:textId="77777777" w:rsidR="00945F7B" w:rsidRDefault="00945F7B" w:rsidP="00945F7B">
      <w:pPr>
        <w:pStyle w:val="ListParagraph1"/>
        <w:spacing w:after="200" w:line="276" w:lineRule="auto"/>
        <w:ind w:left="360"/>
        <w:rPr>
          <w:rFonts w:cs="Arial"/>
        </w:rPr>
      </w:pPr>
    </w:p>
    <w:p w14:paraId="2A935E74" w14:textId="77777777" w:rsidR="00945F7B" w:rsidRPr="00491E01" w:rsidRDefault="00945F7B" w:rsidP="00945F7B">
      <w:pPr>
        <w:pStyle w:val="ListParagraph1"/>
        <w:numPr>
          <w:ilvl w:val="0"/>
          <w:numId w:val="2"/>
        </w:numPr>
        <w:spacing w:after="200" w:line="276" w:lineRule="auto"/>
        <w:rPr>
          <w:rFonts w:cs="Arial"/>
        </w:rPr>
      </w:pPr>
      <w:r w:rsidRPr="00491E01">
        <w:rPr>
          <w:rFonts w:cs="Arial"/>
        </w:rPr>
        <w:t>Información sobre la capacidad económica y financiera. (A.</w:t>
      </w:r>
      <w:r>
        <w:rPr>
          <w:rFonts w:cs="Arial"/>
        </w:rPr>
        <w:t>7</w:t>
      </w:r>
      <w:r w:rsidRPr="00491E01">
        <w:rPr>
          <w:rFonts w:cs="Arial"/>
        </w:rPr>
        <w:t>.) Dicha información detallará el cumplimiento:</w:t>
      </w:r>
    </w:p>
    <w:p w14:paraId="729B4342" w14:textId="77777777" w:rsidR="00945F7B" w:rsidRPr="009E3224" w:rsidRDefault="00945F7B" w:rsidP="00945F7B">
      <w:pPr>
        <w:pStyle w:val="Prrafodelista"/>
        <w:numPr>
          <w:ilvl w:val="0"/>
          <w:numId w:val="1"/>
        </w:numPr>
        <w:rPr>
          <w:rFonts w:eastAsia="Calibri" w:cs="Calibri"/>
          <w:color w:val="000000"/>
          <w:lang w:eastAsia="zh-CN"/>
        </w:rPr>
      </w:pPr>
      <w:r w:rsidRPr="009E3224">
        <w:rPr>
          <w:rFonts w:eastAsia="Calibri" w:cs="Calibri"/>
          <w:color w:val="000000"/>
          <w:lang w:eastAsia="zh-CN"/>
        </w:rPr>
        <w:t>En caso de ser entidad financiera de crédito, de los requisitos de capital establecidos en el Reglamento 575/2013 del Parlamento Europeo y del Consejo (Ratio de capital de nivel 1 ordinario del 4,5 %; ratio de capital de nivel 1 del 6 %; ratio total de capital del 8 %).</w:t>
      </w:r>
    </w:p>
    <w:p w14:paraId="497020E1" w14:textId="77777777" w:rsidR="00945F7B" w:rsidRPr="009E3224" w:rsidRDefault="00945F7B" w:rsidP="00945F7B">
      <w:pPr>
        <w:pStyle w:val="Prrafodelista"/>
        <w:rPr>
          <w:rFonts w:eastAsia="Calibri" w:cs="Calibri"/>
          <w:color w:val="000000"/>
          <w:lang w:eastAsia="zh-CN"/>
        </w:rPr>
      </w:pPr>
    </w:p>
    <w:p w14:paraId="6DAA32C6" w14:textId="77777777" w:rsidR="00945F7B" w:rsidRPr="009E3224" w:rsidRDefault="00945F7B" w:rsidP="00945F7B">
      <w:pPr>
        <w:pStyle w:val="Prrafodelista"/>
        <w:numPr>
          <w:ilvl w:val="0"/>
          <w:numId w:val="1"/>
        </w:numPr>
        <w:rPr>
          <w:rFonts w:eastAsia="Calibri" w:cs="Calibri"/>
          <w:color w:val="000000"/>
          <w:lang w:eastAsia="zh-CN"/>
        </w:rPr>
      </w:pPr>
      <w:r w:rsidRPr="00FF6FB8">
        <w:rPr>
          <w:rFonts w:eastAsia="Calibri" w:cs="Calibri"/>
          <w:lang w:eastAsia="zh-CN"/>
        </w:rPr>
        <w:t>En caso de ser otro tipo de entidad</w:t>
      </w:r>
      <w:r w:rsidRPr="009E3224">
        <w:rPr>
          <w:rFonts w:eastAsia="Calibri" w:cs="Calibri"/>
          <w:color w:val="000000"/>
          <w:lang w:eastAsia="zh-CN"/>
        </w:rPr>
        <w:t>, normativa de aplicación equivalente.</w:t>
      </w:r>
    </w:p>
    <w:p w14:paraId="356ACA5F" w14:textId="77777777" w:rsidR="00945F7B" w:rsidRDefault="00945F7B" w:rsidP="00945F7B">
      <w:pPr>
        <w:pStyle w:val="ListParagraph1"/>
        <w:ind w:left="360"/>
        <w:rPr>
          <w:rFonts w:cs="Arial"/>
        </w:rPr>
      </w:pPr>
    </w:p>
    <w:p w14:paraId="5CE25C7A" w14:textId="77777777" w:rsidR="00945F7B" w:rsidRPr="00FF6FB8" w:rsidRDefault="00945F7B" w:rsidP="00945F7B">
      <w:pPr>
        <w:pStyle w:val="ListParagraph1"/>
        <w:numPr>
          <w:ilvl w:val="0"/>
          <w:numId w:val="2"/>
        </w:numPr>
        <w:spacing w:after="200" w:line="276" w:lineRule="auto"/>
        <w:rPr>
          <w:rFonts w:cs="Arial"/>
        </w:rPr>
      </w:pPr>
      <w:r>
        <w:rPr>
          <w:rFonts w:cs="Arial"/>
        </w:rPr>
        <w:t xml:space="preserve">Declaración autorizando someterse, en caso de resultar necesario, a la auditoría </w:t>
      </w:r>
      <w:r w:rsidRPr="00FF6FB8">
        <w:rPr>
          <w:rFonts w:cs="Arial"/>
        </w:rPr>
        <w:t>por</w:t>
      </w:r>
      <w:r>
        <w:rPr>
          <w:rFonts w:cs="Arial"/>
        </w:rPr>
        <w:t xml:space="preserve"> </w:t>
      </w:r>
      <w:r w:rsidRPr="00CE373A">
        <w:rPr>
          <w:rFonts w:cs="Arial"/>
        </w:rPr>
        <w:t>las instituciones de control de la Junta de Extremadura, del Tribunal de Cuentas de España, la Comisión Europea, la Oficina Europea Antifraude, las Autoridades de Programa y el Tribunal de Cuentas. (A.8.), en relación con su participación en el marco del Fondo de Garantía en Eficiencia energétic</w:t>
      </w:r>
      <w:r>
        <w:rPr>
          <w:rFonts w:cs="Arial"/>
        </w:rPr>
        <w:t>a de vivienda de Extremadura.</w:t>
      </w:r>
    </w:p>
    <w:p w14:paraId="73029679" w14:textId="77777777" w:rsidR="00945F7B" w:rsidRDefault="00945F7B" w:rsidP="00945F7B">
      <w:pPr>
        <w:pStyle w:val="ListParagraph1"/>
        <w:spacing w:after="200" w:line="276" w:lineRule="auto"/>
        <w:ind w:left="360"/>
        <w:rPr>
          <w:rFonts w:cs="Arial"/>
        </w:rPr>
      </w:pPr>
    </w:p>
    <w:p w14:paraId="45539E36" w14:textId="77777777" w:rsidR="00945F7B" w:rsidRDefault="00945F7B" w:rsidP="00945F7B">
      <w:pPr>
        <w:pStyle w:val="ListParagraph1"/>
        <w:numPr>
          <w:ilvl w:val="0"/>
          <w:numId w:val="2"/>
        </w:numPr>
        <w:spacing w:after="200" w:line="276" w:lineRule="auto"/>
        <w:rPr>
          <w:rFonts w:cs="Arial"/>
        </w:rPr>
      </w:pPr>
      <w:r>
        <w:rPr>
          <w:rFonts w:cs="Arial"/>
        </w:rPr>
        <w:t xml:space="preserve">Certificados de encontrarse al corriente de obligaciones tributarias (estatal y regional) y de la Seguridad Social impuestas por las disposiciones vigentes. </w:t>
      </w:r>
      <w:r w:rsidRPr="00FF6FB8">
        <w:rPr>
          <w:rFonts w:cs="Arial"/>
        </w:rPr>
        <w:t>Estos certificados debe</w:t>
      </w:r>
      <w:r>
        <w:rPr>
          <w:rFonts w:cs="Arial"/>
        </w:rPr>
        <w:t>rán estar en vigor, durante el periodo de análisis de la oferta. (A.9</w:t>
      </w:r>
      <w:r w:rsidRPr="00FF6FB8">
        <w:rPr>
          <w:rFonts w:cs="Arial"/>
        </w:rPr>
        <w:t xml:space="preserve">.) </w:t>
      </w:r>
    </w:p>
    <w:p w14:paraId="33E95A01" w14:textId="77777777" w:rsidR="00945F7B" w:rsidRPr="00E040F8" w:rsidRDefault="00945F7B" w:rsidP="00945F7B">
      <w:pPr>
        <w:pStyle w:val="ListParagraph1"/>
        <w:spacing w:after="200" w:line="276" w:lineRule="auto"/>
        <w:ind w:left="360"/>
        <w:rPr>
          <w:rFonts w:cs="Arial"/>
          <w:i/>
        </w:rPr>
      </w:pPr>
      <w:r w:rsidRPr="00E040F8">
        <w:rPr>
          <w:rFonts w:cs="Arial"/>
          <w:i/>
        </w:rPr>
        <w:t xml:space="preserve">Nota: Durante el periodo de vigencia del Acuerdo Operativo se comprobará que la entidad está al corriente con estas obligaciones mediante las comprobaciones que se establecerán en el </w:t>
      </w:r>
      <w:r>
        <w:rPr>
          <w:rFonts w:cs="Arial"/>
          <w:i/>
        </w:rPr>
        <w:t>mismo.</w:t>
      </w:r>
    </w:p>
    <w:p w14:paraId="1A2EB0C8" w14:textId="77777777" w:rsidR="00945F7B" w:rsidRDefault="00945F7B" w:rsidP="00945F7B">
      <w:pPr>
        <w:rPr>
          <w:rFonts w:cs="Arial"/>
        </w:rPr>
      </w:pPr>
      <w:r>
        <w:t>Los requisitos para ser seleccionados relacionados anteriormente se comprobarán con la presentación de la documentación en el tiempo (plazo) y forma establecidos (registro o correo certificado, en castellano, debidamente firmados e incluyendo las declaraciones de no exclusión).</w:t>
      </w:r>
    </w:p>
    <w:p w14:paraId="0C40A906" w14:textId="77777777" w:rsidR="00945F7B" w:rsidRDefault="00945F7B" w:rsidP="00945F7B">
      <w:pPr>
        <w:pStyle w:val="ListParagraph1"/>
        <w:ind w:left="360"/>
        <w:rPr>
          <w:rFonts w:cs="Arial"/>
        </w:rPr>
      </w:pPr>
    </w:p>
    <w:p w14:paraId="2E25BA6B" w14:textId="77777777" w:rsidR="002922E2" w:rsidRDefault="002922E2"/>
    <w:sectPr w:rsidR="00292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5E8A"/>
    <w:multiLevelType w:val="multilevel"/>
    <w:tmpl w:val="32F06B6C"/>
    <w:lvl w:ilvl="0">
      <w:start w:val="1"/>
      <w:numFmt w:val="bullet"/>
      <w:lvlText w:val="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color w:val="9FBD24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1440" w:hanging="360"/>
      </w:pPr>
      <w:rPr>
        <w:rFonts w:ascii="Arial" w:hAnsi="Arial" w:cs="Arial"/>
        <w:sz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1" w15:restartNumberingAfterBreak="0">
    <w:nsid w:val="498D6D9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7B"/>
    <w:rsid w:val="00216E75"/>
    <w:rsid w:val="002922E2"/>
    <w:rsid w:val="0094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6C7A"/>
  <w15:chartTrackingRefBased/>
  <w15:docId w15:val="{01545700-C616-4D65-8800-EA54D85C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F7B"/>
    <w:pPr>
      <w:suppressAutoHyphens/>
      <w:spacing w:after="0" w:line="240" w:lineRule="auto"/>
      <w:jc w:val="both"/>
    </w:pPr>
    <w:rPr>
      <w:rFonts w:ascii="Calibri" w:eastAsia="Times New Roman" w:hAnsi="Calibri" w:cs="Times New Roman"/>
      <w:kern w:val="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945F7B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94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Gómez García</dc:creator>
  <cp:keywords/>
  <dc:description/>
  <cp:lastModifiedBy>Manuela Gómez García</cp:lastModifiedBy>
  <cp:revision>2</cp:revision>
  <dcterms:created xsi:type="dcterms:W3CDTF">2020-12-21T13:43:00Z</dcterms:created>
  <dcterms:modified xsi:type="dcterms:W3CDTF">2020-12-22T08:15:00Z</dcterms:modified>
</cp:coreProperties>
</file>